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rPr>
          <w:rStyle w:val="11"/>
          <w:rFonts w:ascii="Times New Roman" w:hAnsi="Times New Roman" w:eastAsia="仿宋_GB2312"/>
          <w:sz w:val="32"/>
          <w:szCs w:val="32"/>
        </w:rPr>
      </w:pPr>
      <w:r>
        <w:rPr>
          <w:rStyle w:val="11"/>
          <w:rFonts w:ascii="Times New Roman" w:hAnsi="Times New Roman" w:eastAsia="仿宋_GB2312"/>
          <w:sz w:val="32"/>
          <w:szCs w:val="32"/>
        </w:rPr>
        <w:t>附件1.</w:t>
      </w:r>
    </w:p>
    <w:tbl>
      <w:tblPr>
        <w:tblStyle w:val="6"/>
        <w:tblW w:w="92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2232"/>
        <w:gridCol w:w="1418"/>
        <w:gridCol w:w="3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921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1"/>
                <w:rFonts w:ascii="黑体" w:hAnsi="黑体" w:eastAsia="黑体"/>
                <w:b/>
                <w:sz w:val="28"/>
                <w:szCs w:val="28"/>
              </w:rPr>
            </w:pPr>
            <w:bookmarkStart w:id="0" w:name="_GoBack"/>
            <w:r>
              <w:rPr>
                <w:rStyle w:val="11"/>
                <w:rFonts w:ascii="黑体" w:hAnsi="黑体" w:eastAsia="黑体"/>
                <w:b/>
                <w:sz w:val="32"/>
                <w:szCs w:val="32"/>
              </w:rPr>
              <w:t>“全国最美献血点”推选活动登记表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报送单位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ind w:firstLine="4760" w:firstLineChars="1700"/>
              <w:jc w:val="left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推选名称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献血屋/献血房车/流动献血车</w:t>
            </w:r>
            <w:r>
              <w:rPr>
                <w:rStyle w:val="11"/>
                <w:rFonts w:hint="eastAsia" w:ascii="Times New Roman" w:hAnsi="Times New Roman" w:eastAsia="仿宋_GB2312"/>
                <w:sz w:val="28"/>
                <w:szCs w:val="28"/>
              </w:rPr>
              <w:t>（车牌号）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Style w:val="11"/>
                <w:rFonts w:ascii="Times New Roman" w:hAnsi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Style w:val="11"/>
                <w:rFonts w:ascii="Times New Roman" w:hAnsi="Times New Roman" w:eastAsia="仿宋_GB2312"/>
                <w:sz w:val="28"/>
                <w:szCs w:val="28"/>
                <w:shd w:val="pct10" w:color="auto" w:fill="FFFFFF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Style w:val="11"/>
                <w:rFonts w:ascii="Times New Roman" w:hAnsi="Times New Roman" w:eastAsia="仿宋_GB2312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场所属性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Style w:val="11"/>
                <w:rFonts w:ascii="Times New Roman" w:hAnsi="Times New Roman" w:eastAsia="仿宋_GB2312"/>
                <w:sz w:val="28"/>
                <w:szCs w:val="28"/>
                <w:shd w:val="pct10" w:color="auto" w:fill="FFFFFF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自有产权□  租赁□  临建□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b/>
                <w:sz w:val="28"/>
                <w:szCs w:val="28"/>
              </w:rPr>
              <w:t>一、外观形象</w:t>
            </w:r>
          </w:p>
          <w:p>
            <w:pPr>
              <w:autoSpaceDE w:val="0"/>
              <w:autoSpaceDN w:val="0"/>
              <w:snapToGrid w:val="0"/>
              <w:ind w:firstLine="565" w:firstLineChars="202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整体设计大方、醒目，色调协调、舒适；外形设计符合地域文化特色，既能够与周边环境相融合，又能够凸显血站行业特点。</w:t>
            </w:r>
          </w:p>
          <w:p>
            <w:pPr>
              <w:autoSpaceDE w:val="0"/>
              <w:autoSpaceDN w:val="0"/>
              <w:snapToGrid w:val="0"/>
              <w:ind w:firstLine="568" w:firstLineChars="202"/>
              <w:rPr>
                <w:rStyle w:val="11"/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b/>
                <w:sz w:val="28"/>
                <w:szCs w:val="28"/>
              </w:rPr>
              <w:t>*以下选项可打钩（√）多选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jc w:val="left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设置地点</w:t>
            </w:r>
          </w:p>
          <w:p>
            <w:pPr>
              <w:autoSpaceDE w:val="0"/>
              <w:autoSpaceDN w:val="0"/>
              <w:snapToGrid w:val="0"/>
              <w:jc w:val="left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b/>
                <w:sz w:val="28"/>
                <w:szCs w:val="28"/>
              </w:rPr>
              <w:t>附照片1张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  <w:shd w:val="pct10" w:color="auto" w:fill="FFFFFF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所在市（县、区、乡镇）街道地理位置，附近无污染源、交通便利、人流量大、方便献血者就近献血□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jc w:val="left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外观标识</w:t>
            </w:r>
          </w:p>
          <w:p>
            <w:pPr>
              <w:autoSpaceDE w:val="0"/>
              <w:autoSpaceDN w:val="0"/>
              <w:snapToGrid w:val="0"/>
              <w:jc w:val="left"/>
              <w:rPr>
                <w:rStyle w:val="11"/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b/>
                <w:sz w:val="28"/>
                <w:szCs w:val="28"/>
              </w:rPr>
              <w:t>附照片3张</w:t>
            </w:r>
          </w:p>
          <w:p>
            <w:pPr>
              <w:autoSpaceDE w:val="0"/>
              <w:autoSpaceDN w:val="0"/>
              <w:snapToGrid w:val="0"/>
              <w:jc w:val="left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（外观近远景）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样式设计新颖，造型美观，具有采血专用理念体现□</w:t>
            </w:r>
          </w:p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  <w:shd w:val="pct10" w:color="auto" w:fill="FFFFFF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与周边环境设计风格相协调，标识醒目清晰，能够有效吸引献血者□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jc w:val="left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场所面积</w:t>
            </w:r>
          </w:p>
          <w:p>
            <w:pPr>
              <w:autoSpaceDE w:val="0"/>
              <w:autoSpaceDN w:val="0"/>
              <w:snapToGrid w:val="0"/>
              <w:jc w:val="left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(填写数字)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  <w:shd w:val="pct10" w:color="auto" w:fill="FFFFFF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总建筑面积（  ）m</w:t>
            </w:r>
            <w:r>
              <w:rPr>
                <w:rStyle w:val="11"/>
                <w:rFonts w:ascii="Times New Roman" w:hAnsi="Times New Roman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，年平均日献血（   ）人次，应满足献血场所日献血人次需要□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4.献血宣传设施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b/>
                <w:sz w:val="28"/>
                <w:szCs w:val="28"/>
              </w:rPr>
              <w:t>附照片1张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配备宣传所需音视频播放设施□</w:t>
            </w:r>
          </w:p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  <w:shd w:val="pct10" w:color="auto" w:fill="FFFFFF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献血宣传展牌安放□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b/>
                <w:sz w:val="28"/>
                <w:szCs w:val="28"/>
              </w:rPr>
              <w:t>二、流程布局设计</w:t>
            </w:r>
          </w:p>
          <w:p>
            <w:pPr>
              <w:autoSpaceDE w:val="0"/>
              <w:autoSpaceDN w:val="0"/>
              <w:snapToGrid w:val="0"/>
              <w:ind w:firstLine="630" w:firstLineChars="225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布局合理，衔接紧凑，流程清晰，便于献血者识别；设计风格舒缓、温馨，有利于献血者放松心情；相关设施设备等配套齐全，满足献血服务过程需要。</w:t>
            </w:r>
            <w:r>
              <w:rPr>
                <w:rStyle w:val="11"/>
                <w:rFonts w:ascii="Times New Roman" w:hAnsi="Times New Roman" w:eastAsia="仿宋_GB2312"/>
                <w:b/>
                <w:sz w:val="28"/>
                <w:szCs w:val="28"/>
              </w:rPr>
              <w:t>*以下选项可打钩（√）多选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内部布局</w:t>
            </w:r>
          </w:p>
          <w:p>
            <w:pPr>
              <w:autoSpaceDE w:val="0"/>
              <w:autoSpaceDN w:val="0"/>
              <w:snapToGrid w:val="0"/>
              <w:ind w:left="360"/>
              <w:rPr>
                <w:rStyle w:val="11"/>
                <w:rFonts w:ascii="Times New Roman" w:hAnsi="Times New Roman" w:eastAsia="仿宋_GB2312"/>
                <w:sz w:val="28"/>
                <w:szCs w:val="28"/>
                <w:shd w:val="pct10" w:color="auto" w:fill="FFFFFF"/>
              </w:rPr>
            </w:pPr>
            <w:r>
              <w:rPr>
                <w:rStyle w:val="11"/>
                <w:rFonts w:ascii="Times New Roman" w:hAnsi="Times New Roman" w:eastAsia="仿宋_GB2312"/>
                <w:b/>
                <w:bCs/>
                <w:sz w:val="28"/>
                <w:szCs w:val="28"/>
              </w:rPr>
              <w:t>附照片3张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至少应有献血者健康征询与检查区、血液采集区、献血后休息区□</w:t>
            </w:r>
          </w:p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  <w:shd w:val="pct10" w:color="auto" w:fill="FFFFFF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流程设计合理，分区和走向标识清晰可见，便于献血者识别□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内装风格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环境及家具整体风格协调一致，格调鲜明、层次清晰□</w:t>
            </w:r>
          </w:p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色彩搭配温馨、舒适□</w:t>
            </w:r>
          </w:p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配备家具适宜、无安全隐患，献血者体感舒适，便于行走、就坐及献血不良反应处置□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3.环境整洁温馨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内部环境整洁，物品、设备、设施、地面、台面、门窗等干净卫生□</w:t>
            </w:r>
          </w:p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外部环境整洁，周边无堆放杂物□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4.设施配备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能够保证献血服务用电、应急照明需求，血液成分单采机应配备不间断电源□</w:t>
            </w:r>
          </w:p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具有室内温度调节和空气消毒设施，给排水设施、洗手设施和消防设施□</w:t>
            </w:r>
          </w:p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配备固定/移动电话、计算机网络设施□</w:t>
            </w:r>
          </w:p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  <w:shd w:val="pct10" w:color="auto" w:fill="FFFFFF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医用给氧设施和简易急救设施有效、可用□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5.设备配备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  <w:shd w:val="pct10" w:color="auto" w:fill="FFFFFF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能够满足献血服务所需健康征询、一般体格检查、献血前血液检测、采血及血液、标本的储存、运输需要□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6.关键物料摆放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必需的耗材、试剂、卫生及消毒用品摆放整齐有序，取用便捷□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7.服务保障设施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配备供献血者保密性征询区域□</w:t>
            </w:r>
          </w:p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饮水设施□</w:t>
            </w:r>
          </w:p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供献血者使用的充电装置、无线Wi-Fi□</w:t>
            </w:r>
          </w:p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便民服务用老花镜、雨伞、针线包、创可贴等□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  <w:shd w:val="pct10" w:color="auto" w:fill="FFFFFF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8.献血纪念品存放及展示</w:t>
            </w:r>
          </w:p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b/>
                <w:sz w:val="28"/>
                <w:szCs w:val="28"/>
              </w:rPr>
              <w:t>附照片一张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  <w:shd w:val="pct10" w:color="auto" w:fill="FFFFFF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配有纪念品存放及展示空间，且展示醒目具有吸引性□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  <w:shd w:val="pct10" w:color="auto" w:fill="FFFFFF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9.无产权纠纷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_GB2312"/>
                <w:sz w:val="28"/>
                <w:szCs w:val="28"/>
              </w:rPr>
              <w:t>献血点的所有设计、使用等无产权纠纷□</w:t>
            </w:r>
          </w:p>
          <w:p>
            <w:pPr>
              <w:autoSpaceDE w:val="0"/>
              <w:autoSpaceDN w:val="0"/>
              <w:snapToGrid w:val="0"/>
              <w:rPr>
                <w:rStyle w:val="11"/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ind w:firstLine="4638" w:firstLineChars="1650"/>
              <w:rPr>
                <w:rStyle w:val="11"/>
                <w:rFonts w:ascii="Times New Roman" w:hAnsi="Times New Roman" w:eastAsia="仿宋_GB2312"/>
                <w:b/>
                <w:sz w:val="28"/>
                <w:szCs w:val="28"/>
                <w:shd w:val="pct10" w:color="auto" w:fill="FFFFFF"/>
              </w:rPr>
            </w:pPr>
            <w:r>
              <w:rPr>
                <w:rStyle w:val="11"/>
                <w:rFonts w:ascii="Times New Roman" w:hAnsi="Times New Roman" w:eastAsia="仿宋_GB2312"/>
                <w:b/>
                <w:sz w:val="28"/>
                <w:szCs w:val="28"/>
              </w:rPr>
              <w:t>（报送单位盖章）</w:t>
            </w:r>
          </w:p>
        </w:tc>
      </w:tr>
    </w:tbl>
    <w:p>
      <w:pPr>
        <w:autoSpaceDE w:val="0"/>
        <w:autoSpaceDN w:val="0"/>
        <w:snapToGrid w:val="0"/>
        <w:rPr>
          <w:rStyle w:val="11"/>
          <w:rFonts w:ascii="Times New Roman" w:hAnsi="Times New Roman" w:eastAsia="仿宋_GB2312"/>
          <w:sz w:val="32"/>
          <w:szCs w:val="32"/>
        </w:rPr>
      </w:pPr>
      <w:r>
        <w:rPr>
          <w:rStyle w:val="11"/>
          <w:rFonts w:ascii="Times New Roman" w:hAnsi="Times New Roman" w:eastAsia="仿宋_GB2312"/>
          <w:sz w:val="32"/>
          <w:szCs w:val="32"/>
        </w:rPr>
        <w:t>注：1.请在以上申报材料中各项后面“</w:t>
      </w:r>
      <w:r>
        <w:rPr>
          <w:rStyle w:val="11"/>
          <w:rFonts w:ascii="Times New Roman" w:hAnsi="Times New Roman" w:eastAsia="仿宋_GB2312"/>
          <w:sz w:val="28"/>
          <w:szCs w:val="28"/>
        </w:rPr>
        <w:t>□</w:t>
      </w:r>
      <w:r>
        <w:rPr>
          <w:rStyle w:val="11"/>
          <w:rFonts w:ascii="Times New Roman" w:hAnsi="Times New Roman" w:eastAsia="仿宋_GB2312"/>
          <w:sz w:val="32"/>
          <w:szCs w:val="32"/>
        </w:rPr>
        <w:t>”中，根据符合上述描述的划“√”，不符合的请划“×”。</w:t>
      </w:r>
    </w:p>
    <w:p>
      <w:pPr>
        <w:autoSpaceDE w:val="0"/>
        <w:autoSpaceDN w:val="0"/>
        <w:snapToGrid w:val="0"/>
        <w:ind w:firstLine="640" w:firstLineChars="200"/>
        <w:rPr>
          <w:rStyle w:val="11"/>
          <w:rFonts w:ascii="Times New Roman" w:hAnsi="Times New Roman" w:eastAsia="仿宋_GB2312"/>
          <w:sz w:val="32"/>
          <w:szCs w:val="32"/>
        </w:rPr>
      </w:pPr>
      <w:r>
        <w:rPr>
          <w:rStyle w:val="11"/>
          <w:rFonts w:ascii="Times New Roman" w:hAnsi="Times New Roman" w:eastAsia="仿宋_GB2312"/>
          <w:sz w:val="32"/>
          <w:szCs w:val="32"/>
        </w:rPr>
        <w:t>2.标准名称以《血站执业许可证》（或副本）注册名称为准，流动车应有车型及车牌号；并附《血站执业许可证》相关页复印件为证。</w:t>
      </w:r>
    </w:p>
    <w:p>
      <w:pPr>
        <w:autoSpaceDE w:val="0"/>
        <w:autoSpaceDN w:val="0"/>
        <w:snapToGrid w:val="0"/>
        <w:rPr>
          <w:rStyle w:val="11"/>
          <w:rFonts w:ascii="Times New Roman" w:hAnsi="Times New Roman" w:eastAsia="仿宋_GB2312"/>
          <w:sz w:val="32"/>
          <w:szCs w:val="32"/>
        </w:rPr>
      </w:pPr>
      <w:r>
        <w:rPr>
          <w:rStyle w:val="11"/>
          <w:rFonts w:ascii="Times New Roman" w:hAnsi="Times New Roman" w:eastAsia="仿宋_GB2312"/>
          <w:sz w:val="32"/>
          <w:szCs w:val="32"/>
        </w:rPr>
        <w:t xml:space="preserve">    3.请在盖章处加盖公章。</w:t>
      </w:r>
    </w:p>
    <w:p>
      <w:pPr>
        <w:snapToGrid w:val="0"/>
        <w:ind w:firstLine="640" w:firstLineChars="200"/>
        <w:rPr>
          <w:rStyle w:val="11"/>
          <w:rFonts w:ascii="Times New Roman" w:hAnsi="Times New Roman" w:eastAsia="仿宋_GB2312"/>
          <w:color w:val="FF0000"/>
          <w:sz w:val="32"/>
          <w:szCs w:val="32"/>
          <w:shd w:val="pct10" w:color="auto" w:fill="FFFFFF"/>
        </w:rPr>
      </w:pPr>
    </w:p>
    <w:p>
      <w:pPr>
        <w:snapToGrid w:val="0"/>
        <w:ind w:firstLine="640" w:firstLineChars="200"/>
        <w:rPr>
          <w:rStyle w:val="11"/>
          <w:rFonts w:ascii="Times New Roman" w:hAnsi="Times New Roman" w:eastAsia="仿宋_GB2312"/>
          <w:color w:val="FF0000"/>
          <w:sz w:val="32"/>
          <w:szCs w:val="32"/>
          <w:shd w:val="pct10" w:color="auto" w:fill="FFFFFF"/>
        </w:rPr>
      </w:pPr>
    </w:p>
    <w:p>
      <w:pPr>
        <w:snapToGrid w:val="0"/>
        <w:ind w:firstLine="640" w:firstLineChars="200"/>
        <w:rPr>
          <w:rStyle w:val="11"/>
          <w:rFonts w:ascii="Times New Roman" w:hAnsi="Times New Roman" w:eastAsia="仿宋_GB2312"/>
          <w:color w:val="FF0000"/>
          <w:sz w:val="32"/>
          <w:szCs w:val="32"/>
          <w:shd w:val="pct10" w:color="auto" w:fill="FFFFFF"/>
        </w:rPr>
      </w:pPr>
    </w:p>
    <w:p>
      <w:pPr>
        <w:snapToGrid w:val="0"/>
        <w:ind w:firstLine="640" w:firstLineChars="200"/>
        <w:rPr>
          <w:rStyle w:val="11"/>
          <w:rFonts w:ascii="Times New Roman" w:hAnsi="Times New Roman" w:eastAsia="仿宋_GB2312"/>
          <w:color w:val="FF0000"/>
          <w:sz w:val="32"/>
          <w:szCs w:val="32"/>
          <w:shd w:val="pct10" w:color="auto" w:fill="FFFFFF"/>
        </w:rPr>
      </w:pPr>
    </w:p>
    <w:p>
      <w:pPr>
        <w:snapToGrid w:val="0"/>
        <w:ind w:firstLine="640" w:firstLineChars="200"/>
        <w:rPr>
          <w:rStyle w:val="11"/>
          <w:rFonts w:ascii="Times New Roman" w:hAnsi="Times New Roman" w:eastAsia="仿宋_GB2312"/>
          <w:color w:val="FF0000"/>
          <w:sz w:val="32"/>
          <w:szCs w:val="32"/>
          <w:shd w:val="pct10" w:color="auto" w:fill="FFFFFF"/>
        </w:rPr>
      </w:pPr>
    </w:p>
    <w:p>
      <w:pPr>
        <w:snapToGrid w:val="0"/>
        <w:ind w:firstLine="640" w:firstLineChars="200"/>
        <w:rPr>
          <w:rStyle w:val="11"/>
          <w:rFonts w:ascii="Times New Roman" w:hAnsi="Times New Roman" w:eastAsia="仿宋_GB2312"/>
          <w:color w:val="FF0000"/>
          <w:sz w:val="32"/>
          <w:szCs w:val="32"/>
          <w:shd w:val="pct10" w:color="auto" w:fill="FFFFFF"/>
        </w:rPr>
      </w:pPr>
    </w:p>
    <w:p>
      <w:pPr>
        <w:spacing w:line="560" w:lineRule="exact"/>
        <w:rPr>
          <w:rStyle w:val="11"/>
          <w:rFonts w:ascii="Times New Roman" w:hAnsi="Times New Roman" w:eastAsia="仿宋_GB2312"/>
          <w:sz w:val="32"/>
          <w:szCs w:val="32"/>
        </w:rPr>
      </w:pPr>
    </w:p>
    <w:p>
      <w:pPr>
        <w:autoSpaceDE w:val="0"/>
        <w:autoSpaceDN w:val="0"/>
        <w:snapToGrid w:val="0"/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9A3E78"/>
    <w:multiLevelType w:val="multilevel"/>
    <w:tmpl w:val="C19A3E78"/>
    <w:lvl w:ilvl="0" w:tentative="0">
      <w:start w:val="1"/>
      <w:numFmt w:val="chineseCounting"/>
      <w:pStyle w:val="3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22234709"/>
    <w:multiLevelType w:val="multilevel"/>
    <w:tmpl w:val="2223470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CF1BD0"/>
    <w:multiLevelType w:val="multilevel"/>
    <w:tmpl w:val="26CF1B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860B1"/>
    <w:rsid w:val="035C1D9F"/>
    <w:rsid w:val="060B5F3E"/>
    <w:rsid w:val="0A036571"/>
    <w:rsid w:val="1FF7346E"/>
    <w:rsid w:val="2F72170E"/>
    <w:rsid w:val="347D2119"/>
    <w:rsid w:val="381860B1"/>
    <w:rsid w:val="39A41243"/>
    <w:rsid w:val="49C02BAC"/>
    <w:rsid w:val="50F867D8"/>
    <w:rsid w:val="577E3918"/>
    <w:rsid w:val="6D5615EB"/>
    <w:rsid w:val="74C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after="0"/>
      <w:ind w:firstLine="0" w:firstLineChars="0"/>
      <w:jc w:val="center"/>
      <w:outlineLvl w:val="0"/>
    </w:pPr>
    <w:rPr>
      <w:rFonts w:ascii="宋体" w:hAnsi="宋体" w:eastAsia="宋体" w:cstheme="majorBidi"/>
      <w:b/>
      <w:sz w:val="32"/>
      <w:szCs w:val="32"/>
    </w:rPr>
  </w:style>
  <w:style w:type="paragraph" w:styleId="3">
    <w:name w:val="heading 2"/>
    <w:next w:val="1"/>
    <w:link w:val="10"/>
    <w:semiHidden/>
    <w:unhideWhenUsed/>
    <w:qFormat/>
    <w:uiPriority w:val="0"/>
    <w:pPr>
      <w:keepNext/>
      <w:keepLines/>
      <w:numPr>
        <w:ilvl w:val="0"/>
        <w:numId w:val="1"/>
      </w:numPr>
      <w:spacing w:after="0"/>
      <w:ind w:firstLine="0" w:firstLineChars="0"/>
      <w:outlineLvl w:val="1"/>
    </w:pPr>
    <w:rPr>
      <w:rFonts w:eastAsia="宋体" w:asciiTheme="majorAscii" w:hAnsiTheme="majorAscii" w:cstheme="majorBidi"/>
      <w:b/>
      <w:sz w:val="28"/>
      <w:szCs w:val="26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after="0"/>
      <w:ind w:firstLine="0" w:firstLineChars="0"/>
      <w:outlineLvl w:val="2"/>
    </w:pPr>
    <w:rPr>
      <w:rFonts w:ascii="宋体" w:hAnsi="宋体" w:eastAsia="宋体" w:cstheme="majorBidi"/>
      <w:sz w:val="28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theme="majorBidi"/>
      <w:b/>
      <w:sz w:val="32"/>
      <w:szCs w:val="32"/>
    </w:rPr>
  </w:style>
  <w:style w:type="character" w:customStyle="1" w:styleId="9">
    <w:name w:val="标题 3 Char"/>
    <w:basedOn w:val="7"/>
    <w:link w:val="4"/>
    <w:qFormat/>
    <w:uiPriority w:val="9"/>
    <w:rPr>
      <w:rFonts w:ascii="宋体" w:hAnsi="宋体" w:eastAsia="宋体" w:cstheme="majorBidi"/>
      <w:sz w:val="28"/>
      <w:szCs w:val="24"/>
    </w:rPr>
  </w:style>
  <w:style w:type="character" w:customStyle="1" w:styleId="10">
    <w:name w:val="标题 2 Char"/>
    <w:basedOn w:val="7"/>
    <w:link w:val="3"/>
    <w:qFormat/>
    <w:uiPriority w:val="9"/>
    <w:rPr>
      <w:rFonts w:eastAsia="宋体" w:asciiTheme="majorAscii" w:hAnsiTheme="majorAscii" w:cstheme="majorBidi"/>
      <w:b/>
      <w:sz w:val="28"/>
      <w:szCs w:val="26"/>
    </w:rPr>
  </w:style>
  <w:style w:type="character" w:customStyle="1" w:styleId="11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2020-06-19T10:16:00Z</dcterms:created>
  <dc:creator>多柔比星</dc:creator>
  <cp:lastModifiedBy>多柔比星</cp:lastModifiedBy>
  <dcterms:modified xsi:type="dcterms:W3CDTF">2020-06-19T10:20:32Z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