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E2A7E">
      <w:pPr>
        <w:spacing w:before="163" w:line="202" w:lineRule="auto"/>
        <w:ind w:left="1240"/>
        <w:outlineLvl w:val="0"/>
        <w:rPr>
          <w:rFonts w:ascii="微软雅黑" w:hAnsi="微软雅黑" w:eastAsia="微软雅黑" w:cs="微软雅黑"/>
          <w:sz w:val="28"/>
          <w:szCs w:val="28"/>
        </w:rPr>
      </w:pPr>
      <w:r>
        <w:rPr>
          <w:rFonts w:ascii="微软雅黑" w:hAnsi="微软雅黑" w:eastAsia="微软雅黑" w:cs="微软雅黑"/>
          <w:b/>
          <w:bCs/>
          <w:spacing w:val="-1"/>
          <w:sz w:val="28"/>
          <w:szCs w:val="28"/>
        </w:rPr>
        <w:t>团体标准《反应性献血者屏蔽与归队指南》编制说明</w:t>
      </w:r>
    </w:p>
    <w:p w14:paraId="2E5B6EDE">
      <w:pPr>
        <w:spacing w:before="236" w:line="219" w:lineRule="auto"/>
        <w:ind w:left="307"/>
        <w:outlineLvl w:val="1"/>
        <w:rPr>
          <w:rFonts w:ascii="黑体" w:hAnsi="黑体" w:eastAsia="黑体" w:cs="黑体"/>
          <w:sz w:val="28"/>
          <w:szCs w:val="28"/>
        </w:rPr>
      </w:pPr>
      <w:r>
        <w:rPr>
          <w:rFonts w:ascii="黑体" w:hAnsi="黑体" w:eastAsia="黑体" w:cs="黑体"/>
          <w:b/>
          <w:bCs/>
          <w:spacing w:val="-8"/>
          <w:sz w:val="28"/>
          <w:szCs w:val="28"/>
        </w:rPr>
        <w:t>一、任务来源</w:t>
      </w:r>
    </w:p>
    <w:p w14:paraId="645C16DA">
      <w:pPr>
        <w:pStyle w:val="2"/>
        <w:keepNext w:val="0"/>
        <w:keepLines w:val="0"/>
        <w:pageBreakBefore w:val="0"/>
        <w:widowControl/>
        <w:kinsoku w:val="0"/>
        <w:wordWrap/>
        <w:overflowPunct/>
        <w:topLinePunct w:val="0"/>
        <w:autoSpaceDE w:val="0"/>
        <w:autoSpaceDN w:val="0"/>
        <w:bidi w:val="0"/>
        <w:adjustRightInd w:val="0"/>
        <w:snapToGrid w:val="0"/>
        <w:spacing w:before="293" w:line="399" w:lineRule="auto"/>
        <w:ind w:left="28" w:right="6" w:firstLine="556"/>
        <w:textAlignment w:val="baseline"/>
        <w:rPr>
          <w:spacing w:val="-3"/>
        </w:rPr>
      </w:pPr>
      <w:r>
        <w:rPr>
          <w:spacing w:val="-3"/>
        </w:rPr>
        <w:t xml:space="preserve"> 20</w:t>
      </w:r>
      <w:r>
        <w:rPr>
          <w:rFonts w:hint="eastAsia"/>
          <w:spacing w:val="-3"/>
          <w:lang w:val="en-US" w:eastAsia="zh-CN"/>
        </w:rPr>
        <w:t>24</w:t>
      </w:r>
      <w:r>
        <w:rPr>
          <w:spacing w:val="-3"/>
        </w:rPr>
        <w:t xml:space="preserve">年 </w:t>
      </w:r>
      <w:r>
        <w:rPr>
          <w:rFonts w:hint="eastAsia"/>
          <w:spacing w:val="-3"/>
          <w:lang w:val="en-US" w:eastAsia="zh-CN"/>
        </w:rPr>
        <w:t>8</w:t>
      </w:r>
      <w:r>
        <w:rPr>
          <w:spacing w:val="-3"/>
        </w:rPr>
        <w:t>月</w:t>
      </w:r>
      <w:r>
        <w:rPr>
          <w:rFonts w:hint="eastAsia"/>
          <w:spacing w:val="-3"/>
          <w:lang w:val="en-US" w:eastAsia="zh-CN"/>
        </w:rPr>
        <w:t>,受</w:t>
      </w:r>
      <w:r>
        <w:rPr>
          <w:spacing w:val="-3"/>
        </w:rPr>
        <w:t>中国输血协会</w:t>
      </w:r>
      <w:r>
        <w:rPr>
          <w:rFonts w:hint="eastAsia"/>
          <w:spacing w:val="-3"/>
          <w:lang w:val="en-US" w:eastAsia="zh-CN"/>
        </w:rPr>
        <w:t>委托</w:t>
      </w:r>
      <w:r>
        <w:rPr>
          <w:spacing w:val="-3"/>
        </w:rPr>
        <w:t>，</w:t>
      </w:r>
      <w:r>
        <w:rPr>
          <w:rFonts w:hint="eastAsia"/>
          <w:spacing w:val="-3"/>
          <w:lang w:val="en-US" w:eastAsia="zh-CN"/>
        </w:rPr>
        <w:t>由上海市血液中心牵头负责，北京市红十字血液中心</w:t>
      </w:r>
      <w:r>
        <w:rPr>
          <w:rFonts w:hint="eastAsia"/>
          <w:spacing w:val="-3"/>
          <w:lang w:eastAsia="zh-CN"/>
        </w:rPr>
        <w:t>、</w:t>
      </w:r>
      <w:r>
        <w:rPr>
          <w:rFonts w:hint="eastAsia"/>
          <w:spacing w:val="-3"/>
          <w:lang w:val="en-US" w:eastAsia="zh-CN"/>
        </w:rPr>
        <w:t>国家卫健委</w:t>
      </w:r>
      <w:r>
        <w:rPr>
          <w:spacing w:val="-3"/>
        </w:rPr>
        <w:t>临床检验中心</w:t>
      </w:r>
      <w:r>
        <w:rPr>
          <w:rFonts w:hint="eastAsia"/>
          <w:spacing w:val="-3"/>
          <w:lang w:eastAsia="zh-CN"/>
        </w:rPr>
        <w:t>、江苏省血</w:t>
      </w:r>
      <w:r>
        <w:rPr>
          <w:rFonts w:hint="eastAsia"/>
          <w:spacing w:val="-3"/>
          <w:lang w:val="en-US" w:eastAsia="zh-CN"/>
        </w:rPr>
        <w:t>液中心、大连市血液中心共5家单位成立项目组，承担《反应性献血者屏蔽与归队指南》的修订编制任务。项目组收集了广州血液中心、军事科学院军事医学研究院、成都市</w:t>
      </w:r>
      <w:r>
        <w:rPr>
          <w:spacing w:val="-3"/>
        </w:rPr>
        <w:t>血液中心、</w:t>
      </w:r>
      <w:r>
        <w:rPr>
          <w:rFonts w:hint="eastAsia"/>
          <w:spacing w:val="-3"/>
          <w:lang w:val="en-US" w:eastAsia="zh-CN"/>
        </w:rPr>
        <w:t>深圳市</w:t>
      </w:r>
      <w:r>
        <w:rPr>
          <w:spacing w:val="-3"/>
        </w:rPr>
        <w:t>血液中心</w:t>
      </w:r>
      <w:r>
        <w:rPr>
          <w:rFonts w:hint="eastAsia"/>
          <w:spacing w:val="-3"/>
          <w:lang w:val="en-US" w:eastAsia="zh-CN"/>
        </w:rPr>
        <w:t>等单位专家意见、参考国</w:t>
      </w:r>
      <w:r>
        <w:rPr>
          <w:rFonts w:hint="eastAsia"/>
          <w:spacing w:val="-3"/>
          <w:lang w:eastAsia="zh-CN"/>
        </w:rPr>
        <w:t>内外相关标准，结合行业发展趋势和各地调研结果，确定了标准的框架结构和基本内容，形成了标准征求意见稿</w:t>
      </w:r>
      <w:r>
        <w:rPr>
          <w:spacing w:val="-3"/>
        </w:rPr>
        <w:t>。主要参与人员及承担的工作如下：</w:t>
      </w:r>
    </w:p>
    <w:tbl>
      <w:tblPr>
        <w:tblStyle w:val="5"/>
        <w:tblW w:w="865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5"/>
        <w:gridCol w:w="1135"/>
        <w:gridCol w:w="1276"/>
        <w:gridCol w:w="1982"/>
        <w:gridCol w:w="1701"/>
        <w:gridCol w:w="1564"/>
      </w:tblGrid>
      <w:tr w14:paraId="14A7F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95" w:type="dxa"/>
            <w:vAlign w:val="top"/>
          </w:tcPr>
          <w:p w14:paraId="79BB0FDC">
            <w:pPr>
              <w:pStyle w:val="6"/>
              <w:spacing w:before="56" w:line="221" w:lineRule="auto"/>
              <w:ind w:left="293"/>
            </w:pPr>
            <w:r>
              <w:rPr>
                <w:b/>
                <w:bCs/>
                <w:spacing w:val="-4"/>
              </w:rPr>
              <w:t>姓名</w:t>
            </w:r>
          </w:p>
        </w:tc>
        <w:tc>
          <w:tcPr>
            <w:tcW w:w="1135" w:type="dxa"/>
            <w:vAlign w:val="top"/>
          </w:tcPr>
          <w:p w14:paraId="55343694">
            <w:pPr>
              <w:pStyle w:val="6"/>
              <w:spacing w:before="55" w:line="218" w:lineRule="auto"/>
              <w:ind w:left="368"/>
            </w:pPr>
            <w:r>
              <w:rPr>
                <w:b/>
                <w:bCs/>
                <w:spacing w:val="-6"/>
              </w:rPr>
              <w:t>职称</w:t>
            </w:r>
          </w:p>
        </w:tc>
        <w:tc>
          <w:tcPr>
            <w:tcW w:w="1276" w:type="dxa"/>
            <w:vAlign w:val="top"/>
          </w:tcPr>
          <w:p w14:paraId="3212F64A">
            <w:pPr>
              <w:pStyle w:val="6"/>
              <w:spacing w:before="55" w:line="220" w:lineRule="auto"/>
              <w:ind w:left="441"/>
            </w:pPr>
            <w:r>
              <w:rPr>
                <w:b/>
                <w:bCs/>
                <w:spacing w:val="-6"/>
              </w:rPr>
              <w:t>职务</w:t>
            </w:r>
          </w:p>
        </w:tc>
        <w:tc>
          <w:tcPr>
            <w:tcW w:w="1982" w:type="dxa"/>
            <w:vAlign w:val="top"/>
          </w:tcPr>
          <w:p w14:paraId="0F2C9755">
            <w:pPr>
              <w:pStyle w:val="6"/>
              <w:spacing w:before="55" w:line="221" w:lineRule="auto"/>
              <w:ind w:left="792"/>
            </w:pPr>
            <w:r>
              <w:rPr>
                <w:b/>
                <w:bCs/>
                <w:spacing w:val="-6"/>
              </w:rPr>
              <w:t>专业</w:t>
            </w:r>
          </w:p>
        </w:tc>
        <w:tc>
          <w:tcPr>
            <w:tcW w:w="1701" w:type="dxa"/>
            <w:vAlign w:val="top"/>
          </w:tcPr>
          <w:p w14:paraId="63921C5A">
            <w:pPr>
              <w:pStyle w:val="6"/>
              <w:spacing w:before="55" w:line="218" w:lineRule="auto"/>
              <w:ind w:left="650"/>
            </w:pPr>
            <w:r>
              <w:rPr>
                <w:b/>
                <w:bCs/>
                <w:spacing w:val="-5"/>
              </w:rPr>
              <w:t>单位</w:t>
            </w:r>
          </w:p>
        </w:tc>
        <w:tc>
          <w:tcPr>
            <w:tcW w:w="1564" w:type="dxa"/>
            <w:vAlign w:val="top"/>
          </w:tcPr>
          <w:p w14:paraId="099E6BE0">
            <w:pPr>
              <w:pStyle w:val="6"/>
              <w:spacing w:before="55" w:line="217" w:lineRule="auto"/>
              <w:ind w:left="367"/>
            </w:pPr>
            <w:r>
              <w:rPr>
                <w:b/>
                <w:bCs/>
                <w:spacing w:val="-4"/>
              </w:rPr>
              <w:t>承担工作</w:t>
            </w:r>
          </w:p>
        </w:tc>
      </w:tr>
      <w:tr w14:paraId="081C0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95" w:type="dxa"/>
            <w:vAlign w:val="top"/>
          </w:tcPr>
          <w:p w14:paraId="025E04E9">
            <w:pPr>
              <w:pStyle w:val="6"/>
              <w:spacing w:before="207" w:line="217" w:lineRule="auto"/>
              <w:ind w:left="306"/>
            </w:pPr>
            <w:r>
              <w:rPr>
                <w:spacing w:val="-5"/>
              </w:rPr>
              <w:t>张晰</w:t>
            </w:r>
          </w:p>
        </w:tc>
        <w:tc>
          <w:tcPr>
            <w:tcW w:w="1135" w:type="dxa"/>
            <w:vAlign w:val="top"/>
          </w:tcPr>
          <w:p w14:paraId="4767144B">
            <w:pPr>
              <w:pStyle w:val="6"/>
              <w:spacing w:before="207" w:line="219" w:lineRule="auto"/>
              <w:ind w:left="159"/>
            </w:pPr>
            <w:r>
              <w:rPr>
                <w:spacing w:val="-4"/>
              </w:rPr>
              <w:t>主任技师</w:t>
            </w:r>
          </w:p>
        </w:tc>
        <w:tc>
          <w:tcPr>
            <w:tcW w:w="1276" w:type="dxa"/>
            <w:vAlign w:val="top"/>
          </w:tcPr>
          <w:p w14:paraId="15CF1AEF">
            <w:pPr>
              <w:pStyle w:val="6"/>
              <w:spacing w:before="207" w:line="219" w:lineRule="auto"/>
              <w:ind w:left="142"/>
            </w:pPr>
            <w:r>
              <w:rPr>
                <w:spacing w:val="-6"/>
              </w:rPr>
              <w:t>中心主任</w:t>
            </w:r>
          </w:p>
        </w:tc>
        <w:tc>
          <w:tcPr>
            <w:tcW w:w="1982" w:type="dxa"/>
            <w:vAlign w:val="top"/>
          </w:tcPr>
          <w:p w14:paraId="030AEC83">
            <w:pPr>
              <w:pStyle w:val="6"/>
              <w:spacing w:before="207" w:line="219" w:lineRule="auto"/>
              <w:ind w:left="156"/>
            </w:pPr>
            <w:r>
              <w:rPr>
                <w:spacing w:val="-1"/>
              </w:rPr>
              <w:t>采供血管理及研究</w:t>
            </w:r>
          </w:p>
        </w:tc>
        <w:tc>
          <w:tcPr>
            <w:tcW w:w="1701" w:type="dxa"/>
            <w:vAlign w:val="top"/>
          </w:tcPr>
          <w:p w14:paraId="4B100E37">
            <w:pPr>
              <w:pStyle w:val="6"/>
              <w:spacing w:before="207" w:line="219" w:lineRule="auto"/>
              <w:ind w:left="126"/>
            </w:pPr>
            <w:r>
              <w:rPr>
                <w:spacing w:val="-2"/>
              </w:rPr>
              <w:t>上海市血液中心</w:t>
            </w:r>
          </w:p>
        </w:tc>
        <w:tc>
          <w:tcPr>
            <w:tcW w:w="1564" w:type="dxa"/>
            <w:vAlign w:val="top"/>
          </w:tcPr>
          <w:p w14:paraId="582513F0">
            <w:pPr>
              <w:pStyle w:val="6"/>
              <w:spacing w:before="51" w:line="249" w:lineRule="auto"/>
              <w:ind w:left="484" w:right="187" w:hanging="325"/>
            </w:pPr>
            <w:r>
              <w:rPr>
                <w:spacing w:val="-8"/>
              </w:rPr>
              <w:t>项目总负责、</w:t>
            </w:r>
            <w:r>
              <w:t xml:space="preserve"> </w:t>
            </w:r>
            <w:r>
              <w:rPr>
                <w:spacing w:val="-5"/>
              </w:rPr>
              <w:t>总撰稿</w:t>
            </w:r>
          </w:p>
        </w:tc>
      </w:tr>
      <w:tr w14:paraId="03089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95" w:type="dxa"/>
            <w:vAlign w:val="top"/>
          </w:tcPr>
          <w:p w14:paraId="20549222">
            <w:pPr>
              <w:pStyle w:val="6"/>
              <w:spacing w:before="208" w:line="220" w:lineRule="auto"/>
              <w:ind w:left="187"/>
            </w:pPr>
            <w:r>
              <w:rPr>
                <w:spacing w:val="-1"/>
              </w:rPr>
              <w:t>周国平</w:t>
            </w:r>
          </w:p>
        </w:tc>
        <w:tc>
          <w:tcPr>
            <w:tcW w:w="1135" w:type="dxa"/>
            <w:vAlign w:val="top"/>
          </w:tcPr>
          <w:p w14:paraId="4AE3DC9D">
            <w:pPr>
              <w:pStyle w:val="6"/>
              <w:spacing w:before="208" w:line="219" w:lineRule="auto"/>
              <w:ind w:left="159"/>
            </w:pPr>
            <w:r>
              <w:rPr>
                <w:spacing w:val="-4"/>
              </w:rPr>
              <w:t>主任技师</w:t>
            </w:r>
          </w:p>
        </w:tc>
        <w:tc>
          <w:tcPr>
            <w:tcW w:w="1276" w:type="dxa"/>
            <w:vAlign w:val="top"/>
          </w:tcPr>
          <w:p w14:paraId="19DB433C">
            <w:pPr>
              <w:pStyle w:val="6"/>
              <w:spacing w:before="208" w:line="217" w:lineRule="auto"/>
              <w:ind w:left="115"/>
            </w:pPr>
            <w:r>
              <w:rPr>
                <w:spacing w:val="-1"/>
              </w:rPr>
              <w:t>检验部部长</w:t>
            </w:r>
          </w:p>
        </w:tc>
        <w:tc>
          <w:tcPr>
            <w:tcW w:w="1982" w:type="dxa"/>
            <w:vAlign w:val="top"/>
          </w:tcPr>
          <w:p w14:paraId="20FFECA7">
            <w:pPr>
              <w:pStyle w:val="6"/>
              <w:spacing w:before="208" w:line="217" w:lineRule="auto"/>
              <w:ind w:left="601"/>
            </w:pPr>
            <w:r>
              <w:rPr>
                <w:spacing w:val="-8"/>
              </w:rPr>
              <w:t>医学检验</w:t>
            </w:r>
          </w:p>
        </w:tc>
        <w:tc>
          <w:tcPr>
            <w:tcW w:w="1701" w:type="dxa"/>
            <w:vAlign w:val="top"/>
          </w:tcPr>
          <w:p w14:paraId="109DCFBA">
            <w:pPr>
              <w:pStyle w:val="6"/>
              <w:spacing w:before="208" w:line="219" w:lineRule="auto"/>
              <w:ind w:left="126"/>
            </w:pPr>
            <w:r>
              <w:rPr>
                <w:spacing w:val="-2"/>
              </w:rPr>
              <w:t>上海市血液中心</w:t>
            </w:r>
          </w:p>
        </w:tc>
        <w:tc>
          <w:tcPr>
            <w:tcW w:w="1564" w:type="dxa"/>
            <w:vAlign w:val="top"/>
          </w:tcPr>
          <w:p w14:paraId="3BC93C59">
            <w:pPr>
              <w:pStyle w:val="6"/>
              <w:spacing w:before="51" w:line="249" w:lineRule="auto"/>
              <w:ind w:left="160" w:right="148"/>
            </w:pPr>
            <w:r>
              <w:rPr>
                <w:spacing w:val="-2"/>
              </w:rPr>
              <w:t>架构设计、文</w:t>
            </w:r>
            <w:r>
              <w:rPr>
                <w:spacing w:val="1"/>
              </w:rPr>
              <w:t xml:space="preserve"> </w:t>
            </w:r>
            <w:r>
              <w:rPr>
                <w:spacing w:val="-2"/>
              </w:rPr>
              <w:t>献检索、撰稿</w:t>
            </w:r>
          </w:p>
        </w:tc>
      </w:tr>
      <w:tr w14:paraId="7EBA1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995" w:type="dxa"/>
            <w:vAlign w:val="top"/>
          </w:tcPr>
          <w:p w14:paraId="7C0C33FB">
            <w:pPr>
              <w:pStyle w:val="6"/>
              <w:spacing w:before="211" w:line="219" w:lineRule="auto"/>
              <w:ind w:left="192"/>
            </w:pPr>
            <w:r>
              <w:rPr>
                <w:spacing w:val="-2"/>
              </w:rPr>
              <w:t>朱永明</w:t>
            </w:r>
          </w:p>
        </w:tc>
        <w:tc>
          <w:tcPr>
            <w:tcW w:w="1135" w:type="dxa"/>
            <w:vAlign w:val="top"/>
          </w:tcPr>
          <w:p w14:paraId="6B38B5F2">
            <w:pPr>
              <w:pStyle w:val="6"/>
              <w:spacing w:before="210" w:line="221" w:lineRule="auto"/>
              <w:ind w:left="248"/>
            </w:pPr>
            <w:r>
              <w:t>研究员</w:t>
            </w:r>
          </w:p>
        </w:tc>
        <w:tc>
          <w:tcPr>
            <w:tcW w:w="1276" w:type="dxa"/>
            <w:vAlign w:val="top"/>
          </w:tcPr>
          <w:p w14:paraId="3899748E">
            <w:pPr>
              <w:pStyle w:val="6"/>
              <w:spacing w:before="54" w:line="249" w:lineRule="auto"/>
              <w:ind w:left="226" w:right="107" w:hanging="84"/>
            </w:pPr>
            <w:r>
              <w:rPr>
                <w:spacing w:val="-6"/>
              </w:rPr>
              <w:t>中国输血协</w:t>
            </w:r>
            <w:r>
              <w:t xml:space="preserve"> </w:t>
            </w:r>
            <w:r>
              <w:rPr>
                <w:spacing w:val="-3"/>
              </w:rPr>
              <w:t>会理事长</w:t>
            </w:r>
          </w:p>
        </w:tc>
        <w:tc>
          <w:tcPr>
            <w:tcW w:w="1982" w:type="dxa"/>
            <w:vAlign w:val="top"/>
          </w:tcPr>
          <w:p w14:paraId="03B0BCA8">
            <w:pPr>
              <w:pStyle w:val="6"/>
              <w:spacing w:before="211" w:line="219" w:lineRule="auto"/>
              <w:ind w:left="156"/>
            </w:pPr>
            <w:r>
              <w:rPr>
                <w:spacing w:val="-1"/>
              </w:rPr>
              <w:t>采供血管理及研究</w:t>
            </w:r>
          </w:p>
        </w:tc>
        <w:tc>
          <w:tcPr>
            <w:tcW w:w="1701" w:type="dxa"/>
            <w:vAlign w:val="top"/>
          </w:tcPr>
          <w:p w14:paraId="71FD2971">
            <w:pPr>
              <w:pStyle w:val="6"/>
              <w:spacing w:before="211" w:line="219" w:lineRule="auto"/>
              <w:ind w:left="126"/>
            </w:pPr>
            <w:r>
              <w:rPr>
                <w:spacing w:val="-2"/>
              </w:rPr>
              <w:t>上海市血液中心</w:t>
            </w:r>
          </w:p>
        </w:tc>
        <w:tc>
          <w:tcPr>
            <w:tcW w:w="1564" w:type="dxa"/>
            <w:vAlign w:val="top"/>
          </w:tcPr>
          <w:p w14:paraId="6CA1003B">
            <w:pPr>
              <w:pStyle w:val="6"/>
              <w:spacing w:before="54" w:line="249" w:lineRule="auto"/>
              <w:ind w:left="577" w:right="290" w:hanging="311"/>
            </w:pPr>
            <w:r>
              <w:rPr>
                <w:spacing w:val="-10"/>
              </w:rPr>
              <w:t>政策指导、</w:t>
            </w:r>
            <w:r>
              <w:t xml:space="preserve"> </w:t>
            </w:r>
            <w:r>
              <w:rPr>
                <w:spacing w:val="-2"/>
              </w:rPr>
              <w:t>撰稿</w:t>
            </w:r>
          </w:p>
        </w:tc>
      </w:tr>
      <w:tr w14:paraId="358B0B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95" w:type="dxa"/>
            <w:vAlign w:val="top"/>
          </w:tcPr>
          <w:p w14:paraId="508CB330">
            <w:pPr>
              <w:pStyle w:val="6"/>
              <w:spacing w:before="208" w:line="219" w:lineRule="auto"/>
              <w:ind w:left="185"/>
              <w:rPr>
                <w:rFonts w:hint="default" w:eastAsia="仿宋"/>
                <w:lang w:val="en-US" w:eastAsia="zh-CN"/>
              </w:rPr>
            </w:pPr>
            <w:r>
              <w:rPr>
                <w:rFonts w:hint="eastAsia"/>
                <w:spacing w:val="-1"/>
                <w:lang w:val="en-US" w:eastAsia="zh-CN"/>
              </w:rPr>
              <w:t>王迅</w:t>
            </w:r>
          </w:p>
        </w:tc>
        <w:tc>
          <w:tcPr>
            <w:tcW w:w="1135" w:type="dxa"/>
            <w:vAlign w:val="top"/>
          </w:tcPr>
          <w:p w14:paraId="3FAD89AB">
            <w:pPr>
              <w:pStyle w:val="6"/>
              <w:spacing w:before="208" w:line="221" w:lineRule="auto"/>
              <w:ind w:left="248"/>
            </w:pPr>
            <w:r>
              <w:t>研究员</w:t>
            </w:r>
          </w:p>
        </w:tc>
        <w:tc>
          <w:tcPr>
            <w:tcW w:w="1276" w:type="dxa"/>
            <w:vAlign w:val="top"/>
          </w:tcPr>
          <w:p w14:paraId="5C566C97">
            <w:pPr>
              <w:pStyle w:val="6"/>
              <w:spacing w:before="208" w:line="220" w:lineRule="auto"/>
              <w:ind w:left="248"/>
            </w:pPr>
            <w:r>
              <w:rPr>
                <w:spacing w:val="-6"/>
              </w:rPr>
              <w:t>中心</w:t>
            </w:r>
            <w:r>
              <w:rPr>
                <w:rFonts w:hint="eastAsia"/>
                <w:spacing w:val="-6"/>
                <w:lang w:val="en-US" w:eastAsia="zh-CN"/>
              </w:rPr>
              <w:t>副</w:t>
            </w:r>
            <w:r>
              <w:rPr>
                <w:spacing w:val="-6"/>
              </w:rPr>
              <w:t>主任</w:t>
            </w:r>
          </w:p>
        </w:tc>
        <w:tc>
          <w:tcPr>
            <w:tcW w:w="1982" w:type="dxa"/>
            <w:vAlign w:val="top"/>
          </w:tcPr>
          <w:p w14:paraId="3AA80590">
            <w:pPr>
              <w:pStyle w:val="6"/>
              <w:spacing w:before="208" w:line="219" w:lineRule="auto"/>
              <w:ind w:left="156"/>
            </w:pPr>
            <w:r>
              <w:rPr>
                <w:rFonts w:hint="eastAsia"/>
                <w:spacing w:val="-1"/>
                <w:lang w:val="en-US" w:eastAsia="zh-CN"/>
              </w:rPr>
              <w:t>输血传播疾病</w:t>
            </w:r>
            <w:r>
              <w:rPr>
                <w:spacing w:val="-1"/>
              </w:rPr>
              <w:t>研究</w:t>
            </w:r>
          </w:p>
        </w:tc>
        <w:tc>
          <w:tcPr>
            <w:tcW w:w="1701" w:type="dxa"/>
            <w:vAlign w:val="top"/>
          </w:tcPr>
          <w:p w14:paraId="7674FBD1">
            <w:pPr>
              <w:pStyle w:val="6"/>
              <w:spacing w:before="208" w:line="219" w:lineRule="auto"/>
              <w:ind w:left="126"/>
            </w:pPr>
            <w:r>
              <w:rPr>
                <w:spacing w:val="-2"/>
              </w:rPr>
              <w:t>上海市血液中心</w:t>
            </w:r>
          </w:p>
        </w:tc>
        <w:tc>
          <w:tcPr>
            <w:tcW w:w="1564" w:type="dxa"/>
            <w:vAlign w:val="top"/>
          </w:tcPr>
          <w:p w14:paraId="687C5FBE">
            <w:pPr>
              <w:pStyle w:val="6"/>
              <w:spacing w:before="52" w:line="249" w:lineRule="auto"/>
              <w:ind w:left="577" w:right="290" w:hanging="311"/>
            </w:pPr>
            <w:r>
              <w:rPr>
                <w:spacing w:val="-10"/>
              </w:rPr>
              <w:t>政策指导、</w:t>
            </w:r>
            <w:r>
              <w:t xml:space="preserve"> </w:t>
            </w:r>
            <w:r>
              <w:rPr>
                <w:spacing w:val="-2"/>
              </w:rPr>
              <w:t>撰稿</w:t>
            </w:r>
          </w:p>
        </w:tc>
      </w:tr>
      <w:tr w14:paraId="7911A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95" w:type="dxa"/>
            <w:vAlign w:val="top"/>
          </w:tcPr>
          <w:p w14:paraId="050697E4">
            <w:pPr>
              <w:spacing w:line="294" w:lineRule="auto"/>
              <w:rPr>
                <w:rFonts w:ascii="Arial"/>
                <w:sz w:val="21"/>
              </w:rPr>
            </w:pPr>
          </w:p>
          <w:p w14:paraId="13427274">
            <w:pPr>
              <w:pStyle w:val="6"/>
              <w:spacing w:before="68" w:line="221" w:lineRule="auto"/>
              <w:ind w:left="193"/>
            </w:pPr>
            <w:r>
              <w:rPr>
                <w:spacing w:val="-3"/>
              </w:rPr>
              <w:t>王鸿捷</w:t>
            </w:r>
          </w:p>
        </w:tc>
        <w:tc>
          <w:tcPr>
            <w:tcW w:w="1135" w:type="dxa"/>
            <w:vAlign w:val="top"/>
          </w:tcPr>
          <w:p w14:paraId="70D69386">
            <w:pPr>
              <w:spacing w:line="294" w:lineRule="auto"/>
              <w:rPr>
                <w:rFonts w:ascii="Arial"/>
                <w:sz w:val="21"/>
              </w:rPr>
            </w:pPr>
          </w:p>
          <w:p w14:paraId="0337E76F">
            <w:pPr>
              <w:pStyle w:val="6"/>
              <w:spacing w:before="69" w:line="219" w:lineRule="auto"/>
              <w:ind w:left="159"/>
            </w:pPr>
            <w:r>
              <w:rPr>
                <w:spacing w:val="-4"/>
              </w:rPr>
              <w:t>主任技师</w:t>
            </w:r>
          </w:p>
        </w:tc>
        <w:tc>
          <w:tcPr>
            <w:tcW w:w="1276" w:type="dxa"/>
            <w:vAlign w:val="top"/>
          </w:tcPr>
          <w:p w14:paraId="5D0A7037">
            <w:pPr>
              <w:spacing w:line="294" w:lineRule="auto"/>
              <w:rPr>
                <w:rFonts w:ascii="Arial"/>
                <w:sz w:val="21"/>
              </w:rPr>
            </w:pPr>
          </w:p>
          <w:p w14:paraId="5C389ACB">
            <w:pPr>
              <w:pStyle w:val="6"/>
              <w:spacing w:before="69" w:line="219" w:lineRule="auto"/>
              <w:ind w:left="142"/>
            </w:pPr>
            <w:r>
              <w:rPr>
                <w:spacing w:val="-6"/>
              </w:rPr>
              <w:t>中心副主任</w:t>
            </w:r>
          </w:p>
        </w:tc>
        <w:tc>
          <w:tcPr>
            <w:tcW w:w="1982" w:type="dxa"/>
            <w:vAlign w:val="top"/>
          </w:tcPr>
          <w:p w14:paraId="47408111">
            <w:pPr>
              <w:spacing w:line="294" w:lineRule="auto"/>
              <w:rPr>
                <w:rFonts w:ascii="Arial"/>
                <w:sz w:val="21"/>
              </w:rPr>
            </w:pPr>
          </w:p>
          <w:p w14:paraId="615EC60C">
            <w:pPr>
              <w:pStyle w:val="6"/>
              <w:spacing w:before="69" w:line="219" w:lineRule="auto"/>
              <w:ind w:left="156"/>
            </w:pPr>
            <w:r>
              <w:rPr>
                <w:spacing w:val="-1"/>
              </w:rPr>
              <w:t>采供血管理及研究</w:t>
            </w:r>
          </w:p>
        </w:tc>
        <w:tc>
          <w:tcPr>
            <w:tcW w:w="1701" w:type="dxa"/>
            <w:vAlign w:val="top"/>
          </w:tcPr>
          <w:p w14:paraId="17404249">
            <w:pPr>
              <w:pStyle w:val="6"/>
              <w:spacing w:before="208" w:line="260" w:lineRule="auto"/>
              <w:ind w:left="435" w:right="216" w:hanging="206"/>
            </w:pPr>
            <w:r>
              <w:rPr>
                <w:spacing w:val="-2"/>
              </w:rPr>
              <w:t>北京市红十字</w:t>
            </w:r>
            <w:r>
              <w:rPr>
                <w:spacing w:val="1"/>
              </w:rPr>
              <w:t xml:space="preserve"> </w:t>
            </w:r>
            <w:r>
              <w:rPr>
                <w:spacing w:val="-2"/>
              </w:rPr>
              <w:t>血液中心</w:t>
            </w:r>
          </w:p>
        </w:tc>
        <w:tc>
          <w:tcPr>
            <w:tcW w:w="1564" w:type="dxa"/>
            <w:vAlign w:val="top"/>
          </w:tcPr>
          <w:p w14:paraId="5883A49B">
            <w:pPr>
              <w:pStyle w:val="6"/>
              <w:spacing w:before="52" w:line="221" w:lineRule="auto"/>
              <w:ind w:left="268"/>
            </w:pPr>
            <w:r>
              <w:rPr>
                <w:spacing w:val="-3"/>
              </w:rPr>
              <w:t>专项调研分</w:t>
            </w:r>
          </w:p>
          <w:p w14:paraId="02A2C6A8">
            <w:pPr>
              <w:pStyle w:val="6"/>
              <w:spacing w:before="61" w:line="217" w:lineRule="auto"/>
              <w:ind w:right="19"/>
              <w:jc w:val="right"/>
            </w:pPr>
            <w:r>
              <w:rPr>
                <w:spacing w:val="-8"/>
              </w:rPr>
              <w:t>析、文献检索、</w:t>
            </w:r>
          </w:p>
          <w:p w14:paraId="1A84EB66">
            <w:pPr>
              <w:pStyle w:val="6"/>
              <w:spacing w:before="65" w:line="220" w:lineRule="auto"/>
              <w:ind w:left="578"/>
            </w:pPr>
            <w:r>
              <w:rPr>
                <w:spacing w:val="-2"/>
              </w:rPr>
              <w:t>撰稿</w:t>
            </w:r>
          </w:p>
        </w:tc>
      </w:tr>
      <w:tr w14:paraId="1096F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95" w:type="dxa"/>
            <w:vAlign w:val="top"/>
          </w:tcPr>
          <w:p w14:paraId="0B2CA703">
            <w:pPr>
              <w:spacing w:line="295" w:lineRule="auto"/>
              <w:rPr>
                <w:rFonts w:ascii="Arial"/>
                <w:sz w:val="21"/>
              </w:rPr>
            </w:pPr>
          </w:p>
          <w:p w14:paraId="535E7056">
            <w:pPr>
              <w:pStyle w:val="6"/>
              <w:spacing w:before="68" w:line="220" w:lineRule="auto"/>
              <w:ind w:left="193"/>
            </w:pPr>
            <w:r>
              <w:rPr>
                <w:spacing w:val="-3"/>
              </w:rPr>
              <w:t>王露楠</w:t>
            </w:r>
          </w:p>
        </w:tc>
        <w:tc>
          <w:tcPr>
            <w:tcW w:w="1135" w:type="dxa"/>
            <w:vAlign w:val="top"/>
          </w:tcPr>
          <w:p w14:paraId="3EAD0FFB">
            <w:pPr>
              <w:spacing w:line="294" w:lineRule="auto"/>
              <w:rPr>
                <w:rFonts w:ascii="Arial"/>
                <w:sz w:val="21"/>
              </w:rPr>
            </w:pPr>
          </w:p>
          <w:p w14:paraId="09133E25">
            <w:pPr>
              <w:pStyle w:val="6"/>
              <w:spacing w:before="69" w:line="221" w:lineRule="auto"/>
              <w:ind w:left="248"/>
            </w:pPr>
            <w:r>
              <w:t>研究员</w:t>
            </w:r>
          </w:p>
        </w:tc>
        <w:tc>
          <w:tcPr>
            <w:tcW w:w="1276" w:type="dxa"/>
            <w:vAlign w:val="top"/>
          </w:tcPr>
          <w:p w14:paraId="2A3D827F">
            <w:pPr>
              <w:spacing w:line="295" w:lineRule="auto"/>
              <w:rPr>
                <w:rFonts w:ascii="Arial"/>
                <w:sz w:val="21"/>
              </w:rPr>
            </w:pPr>
          </w:p>
          <w:p w14:paraId="64A53FA9">
            <w:pPr>
              <w:pStyle w:val="6"/>
              <w:spacing w:before="68" w:line="220" w:lineRule="auto"/>
              <w:ind w:left="128"/>
            </w:pPr>
            <w:r>
              <w:rPr>
                <w:spacing w:val="-4"/>
              </w:rPr>
              <w:t>免疫室主任</w:t>
            </w:r>
          </w:p>
        </w:tc>
        <w:tc>
          <w:tcPr>
            <w:tcW w:w="1982" w:type="dxa"/>
            <w:vAlign w:val="top"/>
          </w:tcPr>
          <w:p w14:paraId="27D06291">
            <w:pPr>
              <w:spacing w:line="295" w:lineRule="auto"/>
              <w:rPr>
                <w:rFonts w:ascii="Arial"/>
                <w:sz w:val="21"/>
              </w:rPr>
            </w:pPr>
          </w:p>
          <w:p w14:paraId="70E537C0">
            <w:pPr>
              <w:pStyle w:val="6"/>
              <w:spacing w:before="68" w:line="217" w:lineRule="auto"/>
              <w:ind w:left="601"/>
            </w:pPr>
            <w:r>
              <w:rPr>
                <w:spacing w:val="-8"/>
              </w:rPr>
              <w:t>医学检验</w:t>
            </w:r>
          </w:p>
        </w:tc>
        <w:tc>
          <w:tcPr>
            <w:tcW w:w="1701" w:type="dxa"/>
            <w:vAlign w:val="top"/>
          </w:tcPr>
          <w:p w14:paraId="4FCB79F5">
            <w:pPr>
              <w:pStyle w:val="6"/>
              <w:spacing w:before="209" w:line="259" w:lineRule="auto"/>
              <w:ind w:left="433" w:right="320" w:hanging="97"/>
            </w:pPr>
            <w:r>
              <w:rPr>
                <w:rFonts w:hint="eastAsia"/>
                <w:spacing w:val="-3"/>
                <w:lang w:val="en-US" w:eastAsia="zh-CN"/>
              </w:rPr>
              <w:t>国家卫健委</w:t>
            </w:r>
            <w:r>
              <w:rPr>
                <w:spacing w:val="-3"/>
              </w:rPr>
              <w:t>临床</w:t>
            </w:r>
            <w:r>
              <w:rPr>
                <w:spacing w:val="-1"/>
              </w:rPr>
              <w:t>检验中心</w:t>
            </w:r>
          </w:p>
        </w:tc>
        <w:tc>
          <w:tcPr>
            <w:tcW w:w="1564" w:type="dxa"/>
            <w:vAlign w:val="top"/>
          </w:tcPr>
          <w:p w14:paraId="2A2AE80F">
            <w:pPr>
              <w:pStyle w:val="6"/>
              <w:spacing w:before="52" w:line="221" w:lineRule="auto"/>
              <w:ind w:left="268"/>
            </w:pPr>
            <w:r>
              <w:rPr>
                <w:spacing w:val="-3"/>
              </w:rPr>
              <w:t>专项调研分</w:t>
            </w:r>
          </w:p>
          <w:p w14:paraId="0DB89915">
            <w:pPr>
              <w:pStyle w:val="6"/>
              <w:spacing w:before="61" w:line="217" w:lineRule="auto"/>
              <w:ind w:right="19"/>
              <w:jc w:val="right"/>
            </w:pPr>
            <w:r>
              <w:rPr>
                <w:spacing w:val="-8"/>
              </w:rPr>
              <w:t>析、文献检索、</w:t>
            </w:r>
          </w:p>
          <w:p w14:paraId="50EBF36D">
            <w:pPr>
              <w:pStyle w:val="6"/>
              <w:spacing w:before="65" w:line="220" w:lineRule="auto"/>
              <w:ind w:left="578"/>
            </w:pPr>
            <w:r>
              <w:rPr>
                <w:spacing w:val="-2"/>
              </w:rPr>
              <w:t>撰稿</w:t>
            </w:r>
          </w:p>
        </w:tc>
      </w:tr>
      <w:tr w14:paraId="6B003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95" w:type="dxa"/>
            <w:vAlign w:val="top"/>
          </w:tcPr>
          <w:p w14:paraId="1151058D">
            <w:pPr>
              <w:spacing w:line="296" w:lineRule="auto"/>
              <w:rPr>
                <w:rFonts w:ascii="Arial"/>
                <w:sz w:val="21"/>
              </w:rPr>
            </w:pPr>
          </w:p>
          <w:p w14:paraId="30418995">
            <w:pPr>
              <w:pStyle w:val="6"/>
              <w:spacing w:before="68" w:line="218" w:lineRule="auto"/>
              <w:ind w:left="195"/>
            </w:pPr>
            <w:r>
              <w:rPr>
                <w:spacing w:val="-3"/>
              </w:rPr>
              <w:t>梁晓华</w:t>
            </w:r>
          </w:p>
        </w:tc>
        <w:tc>
          <w:tcPr>
            <w:tcW w:w="1135" w:type="dxa"/>
            <w:vAlign w:val="top"/>
          </w:tcPr>
          <w:p w14:paraId="12E1BA33">
            <w:pPr>
              <w:spacing w:line="296" w:lineRule="auto"/>
              <w:rPr>
                <w:rFonts w:ascii="Arial"/>
                <w:sz w:val="21"/>
              </w:rPr>
            </w:pPr>
          </w:p>
          <w:p w14:paraId="59AF0F72">
            <w:pPr>
              <w:pStyle w:val="6"/>
              <w:spacing w:before="68" w:line="219" w:lineRule="auto"/>
              <w:ind w:left="159"/>
            </w:pPr>
            <w:r>
              <w:rPr>
                <w:spacing w:val="-4"/>
              </w:rPr>
              <w:t>主任技师</w:t>
            </w:r>
          </w:p>
        </w:tc>
        <w:tc>
          <w:tcPr>
            <w:tcW w:w="1276" w:type="dxa"/>
            <w:vAlign w:val="top"/>
          </w:tcPr>
          <w:p w14:paraId="716D2EC6">
            <w:pPr>
              <w:spacing w:line="296" w:lineRule="auto"/>
              <w:rPr>
                <w:rFonts w:ascii="Arial"/>
                <w:sz w:val="21"/>
              </w:rPr>
            </w:pPr>
          </w:p>
          <w:p w14:paraId="7489FCBE">
            <w:pPr>
              <w:pStyle w:val="6"/>
              <w:spacing w:before="68" w:line="219" w:lineRule="auto"/>
              <w:ind w:left="248"/>
            </w:pPr>
            <w:r>
              <w:rPr>
                <w:spacing w:val="-8"/>
              </w:rPr>
              <w:t>中心主任</w:t>
            </w:r>
          </w:p>
        </w:tc>
        <w:tc>
          <w:tcPr>
            <w:tcW w:w="1982" w:type="dxa"/>
            <w:vAlign w:val="top"/>
          </w:tcPr>
          <w:p w14:paraId="29121F2E">
            <w:pPr>
              <w:spacing w:line="296" w:lineRule="auto"/>
              <w:rPr>
                <w:rFonts w:ascii="Arial"/>
                <w:sz w:val="21"/>
              </w:rPr>
            </w:pPr>
          </w:p>
          <w:p w14:paraId="66E53AD0">
            <w:pPr>
              <w:pStyle w:val="6"/>
              <w:spacing w:before="68" w:line="219" w:lineRule="auto"/>
              <w:ind w:left="156"/>
            </w:pPr>
            <w:r>
              <w:rPr>
                <w:spacing w:val="-1"/>
              </w:rPr>
              <w:t>采供血管理及研究</w:t>
            </w:r>
          </w:p>
        </w:tc>
        <w:tc>
          <w:tcPr>
            <w:tcW w:w="1701" w:type="dxa"/>
            <w:vAlign w:val="top"/>
          </w:tcPr>
          <w:p w14:paraId="180BAE04">
            <w:pPr>
              <w:spacing w:line="296" w:lineRule="auto"/>
              <w:rPr>
                <w:rFonts w:ascii="Arial"/>
                <w:sz w:val="21"/>
              </w:rPr>
            </w:pPr>
          </w:p>
          <w:p w14:paraId="648725B4">
            <w:pPr>
              <w:pStyle w:val="6"/>
              <w:spacing w:before="68" w:line="219" w:lineRule="auto"/>
              <w:ind w:left="130"/>
            </w:pPr>
            <w:r>
              <w:rPr>
                <w:spacing w:val="-2"/>
              </w:rPr>
              <w:t>大连市血液中心</w:t>
            </w:r>
          </w:p>
        </w:tc>
        <w:tc>
          <w:tcPr>
            <w:tcW w:w="1564" w:type="dxa"/>
            <w:vAlign w:val="top"/>
          </w:tcPr>
          <w:p w14:paraId="2D3A6491">
            <w:pPr>
              <w:pStyle w:val="6"/>
              <w:spacing w:before="53" w:line="221" w:lineRule="auto"/>
              <w:ind w:left="268"/>
            </w:pPr>
            <w:r>
              <w:rPr>
                <w:spacing w:val="-3"/>
              </w:rPr>
              <w:t>专项调研分</w:t>
            </w:r>
          </w:p>
          <w:p w14:paraId="515FC389">
            <w:pPr>
              <w:pStyle w:val="6"/>
              <w:spacing w:before="61" w:line="217" w:lineRule="auto"/>
              <w:ind w:right="19"/>
              <w:jc w:val="right"/>
            </w:pPr>
            <w:r>
              <w:rPr>
                <w:spacing w:val="-8"/>
              </w:rPr>
              <w:t>析、文献检索、</w:t>
            </w:r>
          </w:p>
          <w:p w14:paraId="2825ED27">
            <w:pPr>
              <w:pStyle w:val="6"/>
              <w:spacing w:before="65" w:line="220" w:lineRule="auto"/>
              <w:ind w:left="578"/>
            </w:pPr>
            <w:r>
              <w:rPr>
                <w:spacing w:val="-2"/>
              </w:rPr>
              <w:t>撰稿</w:t>
            </w:r>
          </w:p>
        </w:tc>
      </w:tr>
      <w:tr w14:paraId="17EC4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995" w:type="dxa"/>
            <w:vAlign w:val="top"/>
          </w:tcPr>
          <w:p w14:paraId="51D1677E">
            <w:pPr>
              <w:spacing w:line="296" w:lineRule="auto"/>
              <w:rPr>
                <w:rFonts w:ascii="Arial"/>
                <w:sz w:val="21"/>
              </w:rPr>
            </w:pPr>
          </w:p>
          <w:p w14:paraId="538894F6">
            <w:pPr>
              <w:spacing w:before="68" w:line="221" w:lineRule="auto"/>
              <w:ind w:left="187"/>
              <w:rPr>
                <w:rFonts w:hint="default" w:ascii="宋体" w:hAnsi="宋体" w:eastAsia="宋体" w:cs="宋体"/>
                <w:sz w:val="21"/>
                <w:szCs w:val="21"/>
                <w:lang w:val="en-US" w:eastAsia="zh-CN"/>
              </w:rPr>
            </w:pPr>
            <w:r>
              <w:rPr>
                <w:rFonts w:hint="eastAsia" w:ascii="仿宋" w:hAnsi="仿宋" w:eastAsia="仿宋" w:cs="仿宋"/>
                <w:snapToGrid w:val="0"/>
                <w:color w:val="000000"/>
                <w:spacing w:val="-3"/>
                <w:kern w:val="0"/>
                <w:sz w:val="21"/>
                <w:szCs w:val="21"/>
                <w:lang w:val="en-US" w:eastAsia="zh-CN" w:bidi="ar-SA"/>
              </w:rPr>
              <w:t>蒋昵真</w:t>
            </w:r>
          </w:p>
        </w:tc>
        <w:tc>
          <w:tcPr>
            <w:tcW w:w="1135" w:type="dxa"/>
            <w:vAlign w:val="top"/>
          </w:tcPr>
          <w:p w14:paraId="0ADCD3E1">
            <w:pPr>
              <w:spacing w:line="296" w:lineRule="auto"/>
              <w:rPr>
                <w:rFonts w:ascii="Arial"/>
                <w:sz w:val="21"/>
              </w:rPr>
            </w:pPr>
          </w:p>
          <w:p w14:paraId="6C537C64">
            <w:pPr>
              <w:pStyle w:val="6"/>
              <w:spacing w:before="68" w:line="219" w:lineRule="auto"/>
              <w:ind w:left="159"/>
            </w:pPr>
            <w:r>
              <w:rPr>
                <w:rFonts w:hint="eastAsia"/>
                <w:spacing w:val="-4"/>
                <w:lang w:val="en-US" w:eastAsia="zh-CN"/>
              </w:rPr>
              <w:t>副</w:t>
            </w:r>
            <w:r>
              <w:rPr>
                <w:spacing w:val="-4"/>
              </w:rPr>
              <w:t>主任技师</w:t>
            </w:r>
          </w:p>
        </w:tc>
        <w:tc>
          <w:tcPr>
            <w:tcW w:w="1276" w:type="dxa"/>
            <w:vAlign w:val="top"/>
          </w:tcPr>
          <w:p w14:paraId="1B8EDE4C">
            <w:pPr>
              <w:spacing w:line="296" w:lineRule="auto"/>
              <w:rPr>
                <w:rFonts w:ascii="Arial"/>
                <w:sz w:val="21"/>
              </w:rPr>
            </w:pPr>
          </w:p>
          <w:p w14:paraId="6D966DFF">
            <w:pPr>
              <w:pStyle w:val="6"/>
              <w:spacing w:before="68" w:line="219" w:lineRule="auto"/>
              <w:ind w:left="142"/>
            </w:pPr>
            <w:r>
              <w:rPr>
                <w:spacing w:val="-6"/>
              </w:rPr>
              <w:t>中心副主任</w:t>
            </w:r>
          </w:p>
        </w:tc>
        <w:tc>
          <w:tcPr>
            <w:tcW w:w="1982" w:type="dxa"/>
            <w:vAlign w:val="top"/>
          </w:tcPr>
          <w:p w14:paraId="23E6439C">
            <w:pPr>
              <w:spacing w:line="296" w:lineRule="auto"/>
              <w:rPr>
                <w:rFonts w:ascii="Arial"/>
                <w:sz w:val="21"/>
              </w:rPr>
            </w:pPr>
          </w:p>
          <w:p w14:paraId="21F3CB4C">
            <w:pPr>
              <w:pStyle w:val="6"/>
              <w:spacing w:before="68" w:line="219" w:lineRule="auto"/>
              <w:ind w:left="156"/>
            </w:pPr>
            <w:r>
              <w:rPr>
                <w:spacing w:val="-1"/>
              </w:rPr>
              <w:t>采供血管理及研究</w:t>
            </w:r>
          </w:p>
        </w:tc>
        <w:tc>
          <w:tcPr>
            <w:tcW w:w="1701" w:type="dxa"/>
            <w:vAlign w:val="top"/>
          </w:tcPr>
          <w:p w14:paraId="67674F27">
            <w:pPr>
              <w:spacing w:line="296" w:lineRule="auto"/>
              <w:rPr>
                <w:rFonts w:ascii="Arial"/>
                <w:sz w:val="21"/>
              </w:rPr>
            </w:pPr>
          </w:p>
          <w:p w14:paraId="226FD91E">
            <w:pPr>
              <w:pStyle w:val="6"/>
              <w:spacing w:before="68" w:line="219" w:lineRule="auto"/>
              <w:ind w:left="132"/>
            </w:pPr>
            <w:r>
              <w:rPr>
                <w:spacing w:val="-3"/>
              </w:rPr>
              <w:t>江苏省血液中心</w:t>
            </w:r>
          </w:p>
        </w:tc>
        <w:tc>
          <w:tcPr>
            <w:tcW w:w="1564" w:type="dxa"/>
            <w:vAlign w:val="top"/>
          </w:tcPr>
          <w:p w14:paraId="6361637F">
            <w:pPr>
              <w:pStyle w:val="6"/>
              <w:spacing w:before="54" w:line="221" w:lineRule="auto"/>
              <w:ind w:left="268"/>
            </w:pPr>
            <w:r>
              <w:rPr>
                <w:spacing w:val="-3"/>
              </w:rPr>
              <w:t>专项调研分</w:t>
            </w:r>
          </w:p>
          <w:p w14:paraId="005A3744">
            <w:pPr>
              <w:pStyle w:val="6"/>
              <w:spacing w:before="61" w:line="217" w:lineRule="auto"/>
              <w:ind w:right="19"/>
              <w:jc w:val="right"/>
            </w:pPr>
            <w:r>
              <w:rPr>
                <w:spacing w:val="-8"/>
              </w:rPr>
              <w:t>析、文献检索、</w:t>
            </w:r>
          </w:p>
          <w:p w14:paraId="5455166D">
            <w:pPr>
              <w:pStyle w:val="6"/>
              <w:spacing w:before="65" w:line="220" w:lineRule="auto"/>
              <w:ind w:left="578"/>
            </w:pPr>
            <w:r>
              <w:rPr>
                <w:spacing w:val="-2"/>
              </w:rPr>
              <w:t>撰稿</w:t>
            </w:r>
          </w:p>
        </w:tc>
      </w:tr>
      <w:tr w14:paraId="4D343C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995" w:type="dxa"/>
            <w:vAlign w:val="top"/>
          </w:tcPr>
          <w:p w14:paraId="73CF7D1F">
            <w:pPr>
              <w:spacing w:line="299" w:lineRule="auto"/>
              <w:rPr>
                <w:rFonts w:ascii="Arial"/>
                <w:sz w:val="21"/>
              </w:rPr>
            </w:pPr>
          </w:p>
          <w:p w14:paraId="43EE257F">
            <w:pPr>
              <w:pStyle w:val="6"/>
              <w:spacing w:before="68" w:line="219" w:lineRule="auto"/>
              <w:ind w:left="191"/>
            </w:pPr>
            <w:r>
              <w:rPr>
                <w:spacing w:val="-2"/>
              </w:rPr>
              <w:t>任亚娜</w:t>
            </w:r>
          </w:p>
        </w:tc>
        <w:tc>
          <w:tcPr>
            <w:tcW w:w="1135" w:type="dxa"/>
            <w:vAlign w:val="top"/>
          </w:tcPr>
          <w:p w14:paraId="0A1F9D37">
            <w:pPr>
              <w:pStyle w:val="6"/>
              <w:spacing w:before="213" w:line="260" w:lineRule="auto"/>
              <w:ind w:left="481" w:right="145" w:hanging="313"/>
            </w:pPr>
            <w:r>
              <w:rPr>
                <w:spacing w:val="-6"/>
              </w:rPr>
              <w:t>副主任技</w:t>
            </w:r>
            <w:r>
              <w:t xml:space="preserve"> 师</w:t>
            </w:r>
          </w:p>
        </w:tc>
        <w:tc>
          <w:tcPr>
            <w:tcW w:w="1276" w:type="dxa"/>
            <w:vAlign w:val="top"/>
          </w:tcPr>
          <w:p w14:paraId="630AB624">
            <w:pPr>
              <w:pStyle w:val="6"/>
              <w:spacing w:before="213" w:line="260" w:lineRule="auto"/>
              <w:ind w:left="430" w:right="215" w:hanging="212"/>
              <w:rPr>
                <w:rFonts w:hint="default" w:eastAsia="仿宋"/>
                <w:lang w:val="en-US" w:eastAsia="zh-CN"/>
              </w:rPr>
            </w:pPr>
            <w:r>
              <w:rPr>
                <w:rFonts w:hint="eastAsia"/>
                <w:spacing w:val="-1"/>
                <w:lang w:val="en-US" w:eastAsia="zh-CN"/>
              </w:rPr>
              <w:t>党委组织委员</w:t>
            </w:r>
          </w:p>
        </w:tc>
        <w:tc>
          <w:tcPr>
            <w:tcW w:w="1982" w:type="dxa"/>
            <w:vAlign w:val="top"/>
          </w:tcPr>
          <w:p w14:paraId="46FB0991">
            <w:pPr>
              <w:spacing w:line="299" w:lineRule="auto"/>
              <w:rPr>
                <w:rFonts w:ascii="Arial"/>
                <w:sz w:val="21"/>
              </w:rPr>
            </w:pPr>
          </w:p>
          <w:p w14:paraId="440F3F65">
            <w:pPr>
              <w:pStyle w:val="6"/>
              <w:spacing w:before="68" w:line="219" w:lineRule="auto"/>
              <w:ind w:left="536"/>
            </w:pPr>
            <w:r>
              <w:rPr>
                <w:spacing w:val="-2"/>
              </w:rPr>
              <w:t>输血技术</w:t>
            </w:r>
          </w:p>
        </w:tc>
        <w:tc>
          <w:tcPr>
            <w:tcW w:w="1701" w:type="dxa"/>
            <w:vAlign w:val="top"/>
          </w:tcPr>
          <w:p w14:paraId="5AA8F248">
            <w:pPr>
              <w:spacing w:line="299" w:lineRule="auto"/>
              <w:rPr>
                <w:rFonts w:ascii="Arial"/>
                <w:sz w:val="21"/>
              </w:rPr>
            </w:pPr>
          </w:p>
          <w:p w14:paraId="791CED28">
            <w:pPr>
              <w:pStyle w:val="6"/>
              <w:spacing w:before="68" w:line="219" w:lineRule="auto"/>
              <w:ind w:left="126"/>
            </w:pPr>
            <w:r>
              <w:rPr>
                <w:spacing w:val="-2"/>
              </w:rPr>
              <w:t>上海市血液中心</w:t>
            </w:r>
          </w:p>
        </w:tc>
        <w:tc>
          <w:tcPr>
            <w:tcW w:w="1564" w:type="dxa"/>
            <w:vAlign w:val="top"/>
          </w:tcPr>
          <w:p w14:paraId="2EAD0529">
            <w:pPr>
              <w:pStyle w:val="6"/>
              <w:spacing w:before="56" w:line="221" w:lineRule="auto"/>
              <w:ind w:left="268"/>
            </w:pPr>
            <w:r>
              <w:rPr>
                <w:spacing w:val="-3"/>
              </w:rPr>
              <w:t>专项调研分</w:t>
            </w:r>
          </w:p>
          <w:p w14:paraId="27BB0E19">
            <w:pPr>
              <w:pStyle w:val="6"/>
              <w:spacing w:before="61" w:line="217" w:lineRule="auto"/>
              <w:ind w:right="19"/>
              <w:jc w:val="right"/>
            </w:pPr>
            <w:r>
              <w:rPr>
                <w:spacing w:val="-8"/>
              </w:rPr>
              <w:t>析、文献检索、</w:t>
            </w:r>
          </w:p>
          <w:p w14:paraId="64645DA2">
            <w:pPr>
              <w:pStyle w:val="6"/>
              <w:spacing w:before="65" w:line="220" w:lineRule="auto"/>
              <w:ind w:left="578"/>
            </w:pPr>
            <w:r>
              <w:rPr>
                <w:spacing w:val="-2"/>
              </w:rPr>
              <w:t>撰稿</w:t>
            </w:r>
          </w:p>
        </w:tc>
      </w:tr>
      <w:tr w14:paraId="5AB186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995" w:type="dxa"/>
            <w:vAlign w:val="top"/>
          </w:tcPr>
          <w:p w14:paraId="30A8F25B">
            <w:pPr>
              <w:spacing w:line="297" w:lineRule="auto"/>
              <w:rPr>
                <w:rFonts w:ascii="Arial"/>
                <w:sz w:val="21"/>
              </w:rPr>
            </w:pPr>
          </w:p>
          <w:p w14:paraId="1B201564">
            <w:pPr>
              <w:pStyle w:val="6"/>
              <w:spacing w:before="68" w:line="217" w:lineRule="auto"/>
              <w:ind w:left="294"/>
            </w:pPr>
            <w:r>
              <w:rPr>
                <w:spacing w:val="-2"/>
              </w:rPr>
              <w:t>郑岚</w:t>
            </w:r>
          </w:p>
        </w:tc>
        <w:tc>
          <w:tcPr>
            <w:tcW w:w="1135" w:type="dxa"/>
            <w:vAlign w:val="top"/>
          </w:tcPr>
          <w:p w14:paraId="3FFE30AE">
            <w:pPr>
              <w:spacing w:line="297" w:lineRule="auto"/>
              <w:rPr>
                <w:rFonts w:ascii="Arial"/>
                <w:sz w:val="21"/>
              </w:rPr>
            </w:pPr>
          </w:p>
          <w:p w14:paraId="26919D55">
            <w:pPr>
              <w:pStyle w:val="6"/>
              <w:spacing w:before="69" w:line="219" w:lineRule="auto"/>
              <w:ind w:left="159"/>
            </w:pPr>
            <w:r>
              <w:rPr>
                <w:spacing w:val="-4"/>
              </w:rPr>
              <w:t>主任技师</w:t>
            </w:r>
          </w:p>
        </w:tc>
        <w:tc>
          <w:tcPr>
            <w:tcW w:w="1276" w:type="dxa"/>
            <w:vAlign w:val="top"/>
          </w:tcPr>
          <w:p w14:paraId="2F698417">
            <w:pPr>
              <w:pStyle w:val="6"/>
              <w:spacing w:before="211" w:line="260" w:lineRule="auto"/>
              <w:ind w:left="430" w:right="215" w:hanging="212"/>
            </w:pPr>
            <w:r>
              <w:rPr>
                <w:spacing w:val="-1"/>
              </w:rPr>
              <w:t>检验</w:t>
            </w:r>
            <w:r>
              <w:rPr>
                <w:rFonts w:hint="eastAsia"/>
                <w:spacing w:val="-1"/>
                <w:lang w:val="en-US" w:eastAsia="zh-CN"/>
              </w:rPr>
              <w:t>部副部长</w:t>
            </w:r>
          </w:p>
        </w:tc>
        <w:tc>
          <w:tcPr>
            <w:tcW w:w="1982" w:type="dxa"/>
            <w:vAlign w:val="top"/>
          </w:tcPr>
          <w:p w14:paraId="5F1860F0">
            <w:pPr>
              <w:spacing w:line="297" w:lineRule="auto"/>
              <w:rPr>
                <w:rFonts w:ascii="Arial"/>
                <w:sz w:val="21"/>
              </w:rPr>
            </w:pPr>
          </w:p>
          <w:p w14:paraId="49E0316E">
            <w:pPr>
              <w:pStyle w:val="6"/>
              <w:spacing w:before="68" w:line="217" w:lineRule="auto"/>
              <w:ind w:left="601"/>
            </w:pPr>
            <w:r>
              <w:rPr>
                <w:spacing w:val="-8"/>
              </w:rPr>
              <w:t>医学检验</w:t>
            </w:r>
          </w:p>
        </w:tc>
        <w:tc>
          <w:tcPr>
            <w:tcW w:w="1701" w:type="dxa"/>
            <w:vAlign w:val="top"/>
          </w:tcPr>
          <w:p w14:paraId="257B8523">
            <w:pPr>
              <w:spacing w:line="297" w:lineRule="auto"/>
              <w:rPr>
                <w:rFonts w:ascii="Arial"/>
                <w:sz w:val="21"/>
              </w:rPr>
            </w:pPr>
          </w:p>
          <w:p w14:paraId="7DA3F193">
            <w:pPr>
              <w:pStyle w:val="6"/>
              <w:spacing w:before="69" w:line="219" w:lineRule="auto"/>
              <w:ind w:left="126"/>
            </w:pPr>
            <w:r>
              <w:rPr>
                <w:spacing w:val="-2"/>
              </w:rPr>
              <w:t>上海市血液中心</w:t>
            </w:r>
          </w:p>
        </w:tc>
        <w:tc>
          <w:tcPr>
            <w:tcW w:w="1564" w:type="dxa"/>
            <w:vAlign w:val="top"/>
          </w:tcPr>
          <w:p w14:paraId="2772688A">
            <w:pPr>
              <w:pStyle w:val="6"/>
              <w:spacing w:before="55" w:line="221" w:lineRule="auto"/>
              <w:ind w:left="268"/>
            </w:pPr>
            <w:r>
              <w:rPr>
                <w:spacing w:val="-3"/>
              </w:rPr>
              <w:t>专项调研分</w:t>
            </w:r>
          </w:p>
          <w:p w14:paraId="34B75F22">
            <w:pPr>
              <w:pStyle w:val="6"/>
              <w:spacing w:before="61" w:line="217" w:lineRule="auto"/>
              <w:ind w:right="19"/>
              <w:jc w:val="right"/>
            </w:pPr>
            <w:r>
              <w:rPr>
                <w:spacing w:val="-8"/>
              </w:rPr>
              <w:t>析、文献检索、</w:t>
            </w:r>
          </w:p>
          <w:p w14:paraId="47C3843E">
            <w:pPr>
              <w:pStyle w:val="6"/>
              <w:spacing w:before="65" w:line="220" w:lineRule="auto"/>
              <w:ind w:left="578"/>
            </w:pPr>
            <w:r>
              <w:rPr>
                <w:spacing w:val="-2"/>
              </w:rPr>
              <w:t>撰稿</w:t>
            </w:r>
          </w:p>
        </w:tc>
      </w:tr>
    </w:tbl>
    <w:p w14:paraId="3495783E">
      <w:pPr>
        <w:rPr>
          <w:rFonts w:ascii="Arial"/>
          <w:sz w:val="21"/>
        </w:rPr>
      </w:pPr>
    </w:p>
    <w:p w14:paraId="546DE8B5">
      <w:pPr>
        <w:spacing w:before="180" w:line="219" w:lineRule="auto"/>
        <w:ind w:left="33"/>
        <w:outlineLvl w:val="1"/>
        <w:rPr>
          <w:rFonts w:ascii="黑体" w:hAnsi="黑体" w:eastAsia="黑体" w:cs="黑体"/>
          <w:sz w:val="28"/>
          <w:szCs w:val="28"/>
        </w:rPr>
      </w:pPr>
      <w:r>
        <w:rPr>
          <w:rFonts w:ascii="黑体" w:hAnsi="黑体" w:eastAsia="黑体" w:cs="黑体"/>
          <w:b/>
          <w:bCs/>
          <w:spacing w:val="-5"/>
          <w:sz w:val="28"/>
          <w:szCs w:val="28"/>
        </w:rPr>
        <w:t>二、背景和意义</w:t>
      </w:r>
    </w:p>
    <w:p w14:paraId="6D8A552B">
      <w:pPr>
        <w:pStyle w:val="2"/>
        <w:keepNext w:val="0"/>
        <w:keepLines w:val="0"/>
        <w:pageBreakBefore w:val="0"/>
        <w:widowControl/>
        <w:kinsoku w:val="0"/>
        <w:wordWrap/>
        <w:overflowPunct/>
        <w:topLinePunct w:val="0"/>
        <w:autoSpaceDE w:val="0"/>
        <w:autoSpaceDN w:val="0"/>
        <w:bidi w:val="0"/>
        <w:adjustRightInd w:val="0"/>
        <w:snapToGrid w:val="0"/>
        <w:spacing w:before="293" w:line="399" w:lineRule="auto"/>
        <w:ind w:left="27" w:right="6" w:firstLine="556"/>
        <w:textAlignment w:val="baseline"/>
      </w:pPr>
      <w:r>
        <w:rPr>
          <w:spacing w:val="-3"/>
        </w:rPr>
        <w:t>每年，有数以千万临床病患因为献血者捐献的血液而得到救治，</w:t>
      </w:r>
      <w:r>
        <w:rPr>
          <w:spacing w:val="7"/>
        </w:rPr>
        <w:t xml:space="preserve"> </w:t>
      </w:r>
      <w:r>
        <w:rPr>
          <w:spacing w:val="-3"/>
        </w:rPr>
        <w:t>因此，为这些献血者做好服务是我们采供血机构最重要的工作之一，</w:t>
      </w:r>
      <w:r>
        <w:rPr>
          <w:spacing w:val="10"/>
        </w:rPr>
        <w:t xml:space="preserve"> </w:t>
      </w:r>
      <w:r>
        <w:rPr>
          <w:spacing w:val="-4"/>
        </w:rPr>
        <w:t>我们应本着高度尊重和高度关爱的态度来招募、服务、保留这些献血</w:t>
      </w:r>
      <w:r>
        <w:rPr>
          <w:spacing w:val="11"/>
        </w:rPr>
        <w:t xml:space="preserve"> </w:t>
      </w:r>
      <w:r>
        <w:rPr>
          <w:spacing w:val="-1"/>
        </w:rPr>
        <w:t>者们，使他们确信我们采供血机构始终关注着他们的健康和权益。</w:t>
      </w:r>
    </w:p>
    <w:p w14:paraId="19DD9BA1">
      <w:pPr>
        <w:pStyle w:val="2"/>
        <w:keepNext w:val="0"/>
        <w:keepLines w:val="0"/>
        <w:pageBreakBefore w:val="0"/>
        <w:widowControl/>
        <w:kinsoku w:val="0"/>
        <w:wordWrap/>
        <w:overflowPunct/>
        <w:topLinePunct w:val="0"/>
        <w:autoSpaceDE w:val="0"/>
        <w:autoSpaceDN w:val="0"/>
        <w:bidi w:val="0"/>
        <w:adjustRightInd w:val="0"/>
        <w:snapToGrid w:val="0"/>
        <w:spacing w:before="39" w:line="399" w:lineRule="auto"/>
        <w:ind w:left="20" w:firstLine="570"/>
        <w:textAlignment w:val="baseline"/>
        <w:rPr>
          <w:spacing w:val="-7"/>
        </w:rPr>
      </w:pPr>
      <w:r>
        <w:rPr>
          <w:spacing w:val="1"/>
        </w:rPr>
        <w:t>近年来，随着酶联免疫吸附法（</w:t>
      </w:r>
      <w:r>
        <w:t>ELISA</w:t>
      </w:r>
      <w:r>
        <w:rPr>
          <w:spacing w:val="1"/>
        </w:rPr>
        <w:t>）在经血传播疾病病原体</w:t>
      </w:r>
      <w:r>
        <w:rPr>
          <w:spacing w:val="8"/>
        </w:rPr>
        <w:t xml:space="preserve"> </w:t>
      </w:r>
      <w:r>
        <w:rPr>
          <w:spacing w:val="-4"/>
        </w:rPr>
        <w:t>标志物筛查中的广泛应用、以及</w:t>
      </w:r>
      <w:r>
        <w:rPr>
          <w:spacing w:val="-50"/>
        </w:rPr>
        <w:t xml:space="preserve"> </w:t>
      </w:r>
      <w:r>
        <w:rPr>
          <w:spacing w:val="-4"/>
        </w:rPr>
        <w:t>ELISA</w:t>
      </w:r>
      <w:r>
        <w:rPr>
          <w:spacing w:val="-63"/>
        </w:rPr>
        <w:t xml:space="preserve"> </w:t>
      </w:r>
      <w:r>
        <w:rPr>
          <w:spacing w:val="-4"/>
        </w:rPr>
        <w:t>检测试剂灵敏性和特异性不断</w:t>
      </w:r>
      <w:r>
        <w:t xml:space="preserve"> </w:t>
      </w:r>
      <w:r>
        <w:rPr>
          <w:spacing w:val="6"/>
        </w:rPr>
        <w:t>提高，我国血液安全水平得到了长足的进步。不过，将高灵敏度的</w:t>
      </w:r>
      <w:r>
        <w:rPr>
          <w:spacing w:val="2"/>
        </w:rPr>
        <w:t xml:space="preserve"> </w:t>
      </w:r>
      <w:r>
        <w:rPr>
          <w:spacing w:val="-1"/>
        </w:rPr>
        <w:t>ELISA</w:t>
      </w:r>
      <w:r>
        <w:rPr>
          <w:spacing w:val="-64"/>
        </w:rPr>
        <w:t xml:space="preserve"> </w:t>
      </w:r>
      <w:r>
        <w:rPr>
          <w:spacing w:val="-1"/>
        </w:rPr>
        <w:t>检测试剂应用于低危健康献血者人群的筛查，</w:t>
      </w:r>
      <w:r>
        <w:rPr>
          <w:spacing w:val="-2"/>
        </w:rPr>
        <w:t>假反应性检测结</w:t>
      </w:r>
      <w:r>
        <w:t xml:space="preserve"> </w:t>
      </w:r>
      <w:r>
        <w:rPr>
          <w:spacing w:val="-4"/>
        </w:rPr>
        <w:t>果难免发生。现我国不少采供血机构，本着保护受血者安全，同时也</w:t>
      </w:r>
      <w:r>
        <w:rPr>
          <w:spacing w:val="17"/>
        </w:rPr>
        <w:t xml:space="preserve"> 受制于暂无相关法规程序可依，将经血传播疾病病原体标志物、 </w:t>
      </w:r>
      <w:r>
        <w:rPr>
          <w:spacing w:val="-8"/>
        </w:rPr>
        <w:t>HBsAg、Anti-HCV</w:t>
      </w:r>
      <w:r>
        <w:rPr>
          <w:spacing w:val="-84"/>
        </w:rPr>
        <w:t xml:space="preserve"> </w:t>
      </w:r>
      <w:r>
        <w:rPr>
          <w:spacing w:val="-8"/>
        </w:rPr>
        <w:t>或</w:t>
      </w:r>
      <w:r>
        <w:rPr>
          <w:spacing w:val="-80"/>
        </w:rPr>
        <w:t xml:space="preserve"> </w:t>
      </w:r>
      <w:r>
        <w:rPr>
          <w:spacing w:val="-8"/>
        </w:rPr>
        <w:t>HCV</w:t>
      </w:r>
      <w:r>
        <w:rPr>
          <w:spacing w:val="-59"/>
        </w:rPr>
        <w:t xml:space="preserve"> </w:t>
      </w:r>
      <w:r>
        <w:rPr>
          <w:spacing w:val="-8"/>
        </w:rPr>
        <w:t>Ag/Ab、Anti-HIV1+2或</w:t>
      </w:r>
      <w:r>
        <w:rPr>
          <w:spacing w:val="-77"/>
        </w:rPr>
        <w:t xml:space="preserve"> </w:t>
      </w:r>
      <w:r>
        <w:rPr>
          <w:spacing w:val="-8"/>
        </w:rPr>
        <w:t>HIV</w:t>
      </w:r>
      <w:r>
        <w:rPr>
          <w:spacing w:val="-59"/>
        </w:rPr>
        <w:t xml:space="preserve"> </w:t>
      </w:r>
      <w:r>
        <w:rPr>
          <w:spacing w:val="-8"/>
        </w:rPr>
        <w:t>Ag-Ab1+2、Anti-TP</w:t>
      </w:r>
      <w:r>
        <w:t xml:space="preserve"> </w:t>
      </w:r>
      <w:r>
        <w:rPr>
          <w:spacing w:val="-2"/>
        </w:rPr>
        <w:t>筛查反应性的血液作报废处理，对相应献血者采取永</w:t>
      </w:r>
      <w:r>
        <w:rPr>
          <w:spacing w:val="-3"/>
        </w:rPr>
        <w:t>久屏蔽的策略。</w:t>
      </w:r>
      <w:r>
        <w:t xml:space="preserve"> </w:t>
      </w:r>
      <w:r>
        <w:rPr>
          <w:spacing w:val="-4"/>
        </w:rPr>
        <w:t>此策略对保护受血者安全起到一定的积极作用，但近年来国内一些研</w:t>
      </w:r>
      <w:r>
        <w:rPr>
          <w:spacing w:val="17"/>
        </w:rPr>
        <w:t xml:space="preserve"> </w:t>
      </w:r>
      <w:r>
        <w:rPr>
          <w:spacing w:val="-4"/>
        </w:rPr>
        <w:t>究报道，每年全国至少有数以万计的献血者由于筛查假反应性结果而</w:t>
      </w:r>
      <w:r>
        <w:rPr>
          <w:spacing w:val="17"/>
        </w:rPr>
        <w:t xml:space="preserve"> </w:t>
      </w:r>
      <w:r>
        <w:rPr>
          <w:spacing w:val="-4"/>
        </w:rPr>
        <w:t>不能再次捐献血液，特别是其中一些热衷于无偿献血事业的固定献血</w:t>
      </w:r>
      <w:r>
        <w:rPr>
          <w:spacing w:val="17"/>
        </w:rPr>
        <w:t xml:space="preserve"> </w:t>
      </w:r>
      <w:r>
        <w:rPr>
          <w:spacing w:val="-4"/>
        </w:rPr>
        <w:t>者们。虽然从筛查技术上看，这些结果的出现无可避免，但是我们不</w:t>
      </w:r>
      <w:r>
        <w:rPr>
          <w:spacing w:val="17"/>
        </w:rPr>
        <w:t xml:space="preserve"> </w:t>
      </w:r>
      <w:r>
        <w:rPr>
          <w:spacing w:val="-3"/>
        </w:rPr>
        <w:t>应当因此而心安理得，因为每一份假反应性，</w:t>
      </w:r>
      <w:r>
        <w:rPr>
          <w:spacing w:val="-4"/>
        </w:rPr>
        <w:t>都可能对献血者的身心</w:t>
      </w:r>
      <w:r>
        <w:t xml:space="preserve"> </w:t>
      </w:r>
      <w:r>
        <w:rPr>
          <w:spacing w:val="-3"/>
        </w:rPr>
        <w:t>和名誉造成伤害，给他们的家庭带去误会和困</w:t>
      </w:r>
      <w:r>
        <w:rPr>
          <w:spacing w:val="-4"/>
        </w:rPr>
        <w:t>挠。为这些假反应性献</w:t>
      </w:r>
      <w:r>
        <w:t xml:space="preserve"> </w:t>
      </w:r>
      <w:r>
        <w:rPr>
          <w:spacing w:val="-4"/>
        </w:rPr>
        <w:t>血者除去困惑，回归其作为健康公民再次献血的选择权，对他们而言</w:t>
      </w:r>
      <w:r>
        <w:rPr>
          <w:spacing w:val="17"/>
        </w:rPr>
        <w:t xml:space="preserve"> </w:t>
      </w:r>
      <w:r>
        <w:rPr>
          <w:spacing w:val="-4"/>
        </w:rPr>
        <w:t>是权利，对管理部门而言是责任，对采供血机构而言是服务、关爱献</w:t>
      </w:r>
      <w:r>
        <w:rPr>
          <w:spacing w:val="18"/>
        </w:rPr>
        <w:t xml:space="preserve"> </w:t>
      </w:r>
      <w:r>
        <w:rPr>
          <w:spacing w:val="-3"/>
        </w:rPr>
        <w:t>血者的义务。只要科学水平和技术手段允许，</w:t>
      </w:r>
      <w:r>
        <w:rPr>
          <w:spacing w:val="-4"/>
        </w:rPr>
        <w:t>我们应该尽全力开展和</w:t>
      </w:r>
      <w:r>
        <w:rPr>
          <w:spacing w:val="-7"/>
        </w:rPr>
        <w:t>做好此项工作。</w:t>
      </w:r>
    </w:p>
    <w:p w14:paraId="4543709A">
      <w:pPr>
        <w:pStyle w:val="2"/>
        <w:keepNext w:val="0"/>
        <w:keepLines w:val="0"/>
        <w:pageBreakBefore w:val="0"/>
        <w:widowControl/>
        <w:kinsoku w:val="0"/>
        <w:wordWrap/>
        <w:overflowPunct/>
        <w:topLinePunct w:val="0"/>
        <w:autoSpaceDE w:val="0"/>
        <w:autoSpaceDN w:val="0"/>
        <w:bidi w:val="0"/>
        <w:adjustRightInd w:val="0"/>
        <w:snapToGrid w:val="0"/>
        <w:spacing w:before="39" w:line="399" w:lineRule="auto"/>
        <w:ind w:left="20" w:firstLine="570"/>
        <w:textAlignment w:val="baseline"/>
      </w:pPr>
      <w:r>
        <w:rPr>
          <w:spacing w:val="6"/>
        </w:rPr>
        <w:t>本指南为开展经血传播疾病病原体标志物血清学检测反应性献</w:t>
      </w:r>
      <w:r>
        <w:rPr>
          <w:spacing w:val="13"/>
        </w:rPr>
        <w:t xml:space="preserve"> </w:t>
      </w:r>
      <w:r>
        <w:rPr>
          <w:spacing w:val="-4"/>
        </w:rPr>
        <w:t>血者屏蔽与归队工作的单位提供一个技术途径。本指南在编写中借鉴</w:t>
      </w:r>
      <w:r>
        <w:rPr>
          <w:spacing w:val="13"/>
        </w:rPr>
        <w:t xml:space="preserve"> </w:t>
      </w:r>
      <w:r>
        <w:rPr>
          <w:spacing w:val="-4"/>
        </w:rPr>
        <w:t>了国外较成熟的献血者归队技术流程，在确保归队献血者所捐血液符</w:t>
      </w:r>
      <w:r>
        <w:rPr>
          <w:spacing w:val="13"/>
        </w:rPr>
        <w:t xml:space="preserve"> </w:t>
      </w:r>
      <w:r>
        <w:rPr>
          <w:spacing w:val="-3"/>
        </w:rPr>
        <w:t>合现有国家标准的前提下，也充分考虑了国内输血领域的实际情况，</w:t>
      </w:r>
      <w:r>
        <w:rPr>
          <w:spacing w:val="12"/>
        </w:rPr>
        <w:t xml:space="preserve"> </w:t>
      </w:r>
      <w:r>
        <w:rPr>
          <w:spacing w:val="-4"/>
        </w:rPr>
        <w:t>希望这本指南能为采供血机构提供有效的信息与帮助。《指南》并非</w:t>
      </w:r>
      <w:r>
        <w:rPr>
          <w:spacing w:val="17"/>
        </w:rPr>
        <w:t xml:space="preserve"> </w:t>
      </w:r>
      <w:r>
        <w:rPr>
          <w:spacing w:val="-2"/>
        </w:rPr>
        <w:t>具有强制性的统一标准，且需要在实践中不断加以修正和改进。</w:t>
      </w:r>
    </w:p>
    <w:p w14:paraId="73A06ADC">
      <w:pPr>
        <w:spacing w:before="47" w:line="219" w:lineRule="auto"/>
        <w:ind w:left="35"/>
        <w:outlineLvl w:val="1"/>
        <w:rPr>
          <w:rFonts w:ascii="黑体" w:hAnsi="黑体" w:eastAsia="黑体" w:cs="黑体"/>
          <w:sz w:val="28"/>
          <w:szCs w:val="28"/>
        </w:rPr>
      </w:pPr>
      <w:r>
        <w:rPr>
          <w:rFonts w:ascii="黑体" w:hAnsi="黑体" w:eastAsia="黑体" w:cs="黑体"/>
          <w:b/>
          <w:bCs/>
          <w:spacing w:val="-5"/>
          <w:sz w:val="28"/>
          <w:szCs w:val="28"/>
        </w:rPr>
        <w:t>三、标准制订过程</w:t>
      </w:r>
    </w:p>
    <w:p w14:paraId="0268A842">
      <w:pPr>
        <w:pStyle w:val="2"/>
        <w:keepNext w:val="0"/>
        <w:keepLines w:val="0"/>
        <w:pageBreakBefore w:val="0"/>
        <w:widowControl/>
        <w:kinsoku w:val="0"/>
        <w:wordWrap/>
        <w:overflowPunct/>
        <w:topLinePunct w:val="0"/>
        <w:autoSpaceDE w:val="0"/>
        <w:autoSpaceDN w:val="0"/>
        <w:bidi w:val="0"/>
        <w:adjustRightInd w:val="0"/>
        <w:snapToGrid w:val="0"/>
        <w:spacing w:before="289" w:line="399" w:lineRule="auto"/>
        <w:ind w:left="24" w:right="26" w:firstLine="549" w:firstLineChars="202"/>
        <w:jc w:val="both"/>
        <w:textAlignment w:val="baseline"/>
        <w:rPr>
          <w:rFonts w:ascii="方正舒体" w:hAnsi="方正舒体" w:eastAsia="方正舒体" w:cs="方正舒体"/>
          <w:sz w:val="31"/>
          <w:szCs w:val="31"/>
        </w:rPr>
      </w:pPr>
      <w:r>
        <w:rPr>
          <w:spacing w:val="-4"/>
        </w:rPr>
        <w:t>上海市血液中心、北京市红十字血液中心、大连市血液中心、江苏省血液中心均为集血液采集、制备、供应、科研及教学于一体的，国内先进的采供血服务机构，</w:t>
      </w:r>
      <w:r>
        <w:rPr>
          <w:rFonts w:hint="eastAsia"/>
          <w:spacing w:val="-4"/>
          <w:lang w:val="en-US" w:eastAsia="zh-CN"/>
        </w:rPr>
        <w:t>国家卫健委</w:t>
      </w:r>
      <w:r>
        <w:rPr>
          <w:spacing w:val="-4"/>
        </w:rPr>
        <w:t>临床检验中心免疫室是血站血清学和</w:t>
      </w:r>
      <w:r>
        <w:rPr>
          <w:spacing w:val="-3"/>
        </w:rPr>
        <w:t>核酸检测的参比实验室。以上5家单位共同完</w:t>
      </w:r>
      <w:r>
        <w:rPr>
          <w:spacing w:val="-4"/>
        </w:rPr>
        <w:t>成《反应性献血者屏蔽</w:t>
      </w:r>
      <w:r>
        <w:rPr>
          <w:spacing w:val="-8"/>
        </w:rPr>
        <w:t>与归队指南》</w:t>
      </w:r>
      <w:r>
        <w:rPr>
          <w:rFonts w:hint="eastAsia"/>
          <w:spacing w:val="-8"/>
          <w:lang w:val="en-US" w:eastAsia="zh-CN"/>
        </w:rPr>
        <w:t>修订编制</w:t>
      </w:r>
      <w:r>
        <w:rPr>
          <w:spacing w:val="-8"/>
        </w:rPr>
        <w:t>，</w:t>
      </w:r>
      <w:r>
        <w:rPr>
          <w:rFonts w:hint="eastAsia"/>
          <w:spacing w:val="-8"/>
          <w:lang w:val="en-US" w:eastAsia="zh-CN"/>
        </w:rPr>
        <w:t>修订编制</w:t>
      </w:r>
      <w:r>
        <w:rPr>
          <w:spacing w:val="-8"/>
        </w:rPr>
        <w:t>过程主要分为四个阶段</w:t>
      </w:r>
      <w:r>
        <w:rPr>
          <w:rFonts w:ascii="方正舒体" w:hAnsi="方正舒体" w:eastAsia="方正舒体" w:cs="方正舒体"/>
          <w:spacing w:val="-8"/>
          <w:sz w:val="31"/>
          <w:szCs w:val="31"/>
        </w:rPr>
        <w:t>：</w:t>
      </w:r>
    </w:p>
    <w:p w14:paraId="57EEAD91">
      <w:pPr>
        <w:keepNext w:val="0"/>
        <w:keepLines w:val="0"/>
        <w:pageBreakBefore w:val="0"/>
        <w:widowControl/>
        <w:suppressLineNumbers w:val="0"/>
        <w:kinsoku w:val="0"/>
        <w:wordWrap/>
        <w:overflowPunct/>
        <w:topLinePunct w:val="0"/>
        <w:autoSpaceDE w:val="0"/>
        <w:autoSpaceDN w:val="0"/>
        <w:bidi w:val="0"/>
        <w:adjustRightInd w:val="0"/>
        <w:snapToGrid w:val="0"/>
        <w:spacing w:line="399" w:lineRule="auto"/>
        <w:jc w:val="left"/>
        <w:textAlignment w:val="baseline"/>
        <w:rPr>
          <w:rFonts w:hint="default" w:ascii="仿宋" w:hAnsi="仿宋" w:eastAsia="仿宋" w:cs="仿宋"/>
          <w:snapToGrid w:val="0"/>
          <w:color w:val="000000"/>
          <w:spacing w:val="-3"/>
          <w:kern w:val="0"/>
          <w:sz w:val="28"/>
          <w:szCs w:val="28"/>
          <w:lang w:val="en-US" w:eastAsia="zh-CN" w:bidi="ar-SA"/>
        </w:rPr>
      </w:pPr>
      <w:r>
        <w:rPr>
          <w:rFonts w:hint="eastAsia" w:ascii="仿宋" w:hAnsi="仿宋" w:eastAsia="仿宋" w:cs="仿宋"/>
          <w:snapToGrid w:val="0"/>
          <w:color w:val="000000"/>
          <w:spacing w:val="-3"/>
          <w:kern w:val="0"/>
          <w:sz w:val="28"/>
          <w:szCs w:val="28"/>
          <w:lang w:val="en-US" w:eastAsia="zh-CN" w:bidi="ar-SA"/>
        </w:rPr>
        <w:t>第一阶段（ 2023年12月）中国输血协会输血传播</w:t>
      </w:r>
      <w:r>
        <w:rPr>
          <w:rFonts w:hint="default" w:ascii="仿宋" w:hAnsi="仿宋" w:eastAsia="仿宋" w:cs="仿宋"/>
          <w:snapToGrid w:val="0"/>
          <w:color w:val="000000"/>
          <w:spacing w:val="-3"/>
          <w:kern w:val="0"/>
          <w:sz w:val="28"/>
          <w:szCs w:val="28"/>
          <w:lang w:val="en-US" w:eastAsia="zh-CN" w:bidi="ar-SA"/>
        </w:rPr>
        <w:t>疾病专业委员</w:t>
      </w:r>
      <w:r>
        <w:rPr>
          <w:rFonts w:hint="eastAsia" w:ascii="仿宋" w:hAnsi="仿宋" w:eastAsia="仿宋" w:cs="仿宋"/>
          <w:snapToGrid w:val="0"/>
          <w:color w:val="000000"/>
          <w:spacing w:val="-3"/>
          <w:kern w:val="0"/>
          <w:sz w:val="28"/>
          <w:szCs w:val="28"/>
          <w:lang w:val="en-US" w:eastAsia="zh-CN" w:bidi="ar-SA"/>
        </w:rPr>
        <w:t>组织专家对标准进行复审。</w:t>
      </w:r>
    </w:p>
    <w:p w14:paraId="00A101BA">
      <w:pPr>
        <w:pStyle w:val="2"/>
        <w:keepNext w:val="0"/>
        <w:keepLines w:val="0"/>
        <w:pageBreakBefore w:val="0"/>
        <w:widowControl/>
        <w:kinsoku w:val="0"/>
        <w:wordWrap/>
        <w:overflowPunct/>
        <w:topLinePunct w:val="0"/>
        <w:autoSpaceDE w:val="0"/>
        <w:autoSpaceDN w:val="0"/>
        <w:bidi w:val="0"/>
        <w:adjustRightInd w:val="0"/>
        <w:snapToGrid w:val="0"/>
        <w:spacing w:before="45" w:line="399" w:lineRule="auto"/>
        <w:ind w:left="25" w:right="24" w:firstLine="14"/>
        <w:textAlignment w:val="baseline"/>
      </w:pPr>
      <w:r>
        <w:rPr>
          <w:spacing w:val="-5"/>
        </w:rPr>
        <w:t>第二阶段（</w:t>
      </w:r>
      <w:r>
        <w:rPr>
          <w:spacing w:val="-80"/>
        </w:rPr>
        <w:t xml:space="preserve"> </w:t>
      </w:r>
      <w:r>
        <w:rPr>
          <w:spacing w:val="-5"/>
        </w:rPr>
        <w:t>20</w:t>
      </w:r>
      <w:r>
        <w:rPr>
          <w:rFonts w:hint="eastAsia"/>
          <w:spacing w:val="-5"/>
          <w:lang w:val="en-US" w:eastAsia="zh-CN"/>
        </w:rPr>
        <w:t>24</w:t>
      </w:r>
      <w:r>
        <w:rPr>
          <w:spacing w:val="-5"/>
        </w:rPr>
        <w:t xml:space="preserve"> 年</w:t>
      </w:r>
      <w:r>
        <w:rPr>
          <w:rFonts w:hint="eastAsia"/>
          <w:spacing w:val="-5"/>
          <w:lang w:val="en-US" w:eastAsia="zh-CN"/>
        </w:rPr>
        <w:t>7</w:t>
      </w:r>
      <w:r>
        <w:rPr>
          <w:spacing w:val="-5"/>
        </w:rPr>
        <w:t>月）</w:t>
      </w:r>
      <w:r>
        <w:rPr>
          <w:rFonts w:hint="eastAsia"/>
          <w:spacing w:val="-5"/>
          <w:lang w:val="en-US" w:eastAsia="zh-CN"/>
        </w:rPr>
        <w:t>通过中国输血协会组织的团标复审评审专家组复审。</w:t>
      </w:r>
    </w:p>
    <w:p w14:paraId="3247DF33">
      <w:pPr>
        <w:pStyle w:val="2"/>
        <w:keepNext w:val="0"/>
        <w:keepLines w:val="0"/>
        <w:pageBreakBefore w:val="0"/>
        <w:widowControl/>
        <w:kinsoku w:val="0"/>
        <w:wordWrap/>
        <w:overflowPunct/>
        <w:topLinePunct w:val="0"/>
        <w:autoSpaceDE w:val="0"/>
        <w:autoSpaceDN w:val="0"/>
        <w:bidi w:val="0"/>
        <w:adjustRightInd w:val="0"/>
        <w:snapToGrid w:val="0"/>
        <w:spacing w:before="5" w:line="399" w:lineRule="auto"/>
        <w:ind w:left="28" w:right="73" w:firstLine="10"/>
        <w:textAlignment w:val="baseline"/>
        <w:rPr>
          <w:rFonts w:hint="eastAsia" w:ascii="仿宋" w:hAnsi="仿宋" w:eastAsia="仿宋" w:cs="仿宋"/>
          <w:snapToGrid w:val="0"/>
          <w:color w:val="000000"/>
          <w:spacing w:val="-8"/>
          <w:kern w:val="0"/>
          <w:sz w:val="28"/>
          <w:szCs w:val="28"/>
          <w:lang w:val="en-US" w:eastAsia="zh-CN" w:bidi="ar-SA"/>
        </w:rPr>
      </w:pPr>
      <w:r>
        <w:rPr>
          <w:spacing w:val="-5"/>
        </w:rPr>
        <w:t>第三阶段</w:t>
      </w:r>
      <w:r>
        <w:rPr>
          <w:rFonts w:hint="eastAsia"/>
          <w:spacing w:val="-5"/>
          <w:lang w:eastAsia="zh-CN"/>
        </w:rPr>
        <w:t>（</w:t>
      </w:r>
      <w:r>
        <w:rPr>
          <w:rFonts w:hint="eastAsia"/>
          <w:spacing w:val="-5"/>
          <w:lang w:val="en-US" w:eastAsia="zh-CN"/>
        </w:rPr>
        <w:t>2024年8-9月</w:t>
      </w:r>
      <w:r>
        <w:rPr>
          <w:rFonts w:hint="eastAsia"/>
          <w:spacing w:val="-5"/>
          <w:lang w:eastAsia="zh-CN"/>
        </w:rPr>
        <w:t>）</w:t>
      </w:r>
      <w:r>
        <w:rPr>
          <w:rFonts w:hint="eastAsia" w:ascii="仿宋" w:hAnsi="仿宋" w:eastAsia="仿宋" w:cs="仿宋"/>
          <w:snapToGrid w:val="0"/>
          <w:color w:val="000000"/>
          <w:spacing w:val="-8"/>
          <w:kern w:val="0"/>
          <w:sz w:val="28"/>
          <w:szCs w:val="28"/>
          <w:lang w:val="en-US" w:eastAsia="zh-CN" w:bidi="ar-SA"/>
        </w:rPr>
        <w:t>成立由以上5 家单位组成的标准修订编制小组</w:t>
      </w:r>
      <w:r>
        <w:rPr>
          <w:rFonts w:hint="eastAsia" w:cs="仿宋"/>
          <w:snapToGrid w:val="0"/>
          <w:color w:val="000000"/>
          <w:spacing w:val="-8"/>
          <w:kern w:val="0"/>
          <w:sz w:val="28"/>
          <w:szCs w:val="28"/>
          <w:lang w:val="en-US" w:eastAsia="zh-CN" w:bidi="ar-SA"/>
        </w:rPr>
        <w:t>，启动修订编制工作</w:t>
      </w:r>
      <w:r>
        <w:rPr>
          <w:rFonts w:hint="eastAsia" w:ascii="仿宋" w:hAnsi="仿宋" w:eastAsia="仿宋" w:cs="仿宋"/>
          <w:snapToGrid w:val="0"/>
          <w:color w:val="000000"/>
          <w:spacing w:val="-8"/>
          <w:kern w:val="0"/>
          <w:sz w:val="28"/>
          <w:szCs w:val="28"/>
          <w:lang w:val="en-US" w:eastAsia="zh-CN" w:bidi="ar-SA"/>
        </w:rPr>
        <w:t>。查阅国内外关于献血者归队的相关标准和文献</w:t>
      </w:r>
      <w:r>
        <w:rPr>
          <w:rFonts w:hint="eastAsia" w:cs="仿宋"/>
          <w:snapToGrid w:val="0"/>
          <w:color w:val="000000"/>
          <w:spacing w:val="-8"/>
          <w:kern w:val="0"/>
          <w:sz w:val="28"/>
          <w:szCs w:val="28"/>
          <w:lang w:val="en-US" w:eastAsia="zh-CN" w:bidi="ar-SA"/>
        </w:rPr>
        <w:t>。</w:t>
      </w:r>
    </w:p>
    <w:p w14:paraId="407D5C30">
      <w:pPr>
        <w:pStyle w:val="2"/>
        <w:keepNext w:val="0"/>
        <w:keepLines w:val="0"/>
        <w:pageBreakBefore w:val="0"/>
        <w:widowControl/>
        <w:kinsoku w:val="0"/>
        <w:wordWrap/>
        <w:overflowPunct/>
        <w:topLinePunct w:val="0"/>
        <w:autoSpaceDE w:val="0"/>
        <w:autoSpaceDN w:val="0"/>
        <w:bidi w:val="0"/>
        <w:adjustRightInd w:val="0"/>
        <w:snapToGrid w:val="0"/>
        <w:spacing w:before="5" w:line="399" w:lineRule="auto"/>
        <w:ind w:left="28" w:right="73" w:firstLine="10"/>
        <w:textAlignment w:val="baseline"/>
        <w:rPr>
          <w:rFonts w:hint="eastAsia" w:ascii="仿宋" w:hAnsi="仿宋" w:eastAsia="仿宋" w:cs="仿宋"/>
          <w:snapToGrid w:val="0"/>
          <w:color w:val="000000"/>
          <w:spacing w:val="-8"/>
          <w:kern w:val="0"/>
          <w:sz w:val="28"/>
          <w:szCs w:val="28"/>
          <w:lang w:val="en-US" w:eastAsia="zh-CN" w:bidi="ar-SA"/>
        </w:rPr>
      </w:pPr>
      <w:r>
        <w:rPr>
          <w:rFonts w:hint="eastAsia"/>
          <w:spacing w:val="-5"/>
          <w:lang w:val="en-US" w:eastAsia="zh-CN"/>
        </w:rPr>
        <w:t>第四阶段（2024年10月）收集复审专家意见、</w:t>
      </w:r>
      <w:r>
        <w:rPr>
          <w:spacing w:val="-5"/>
        </w:rPr>
        <w:t>综合国内外文献和已有的标</w:t>
      </w:r>
      <w:r>
        <w:rPr>
          <w:spacing w:val="-6"/>
        </w:rPr>
        <w:t>准，结合目前</w:t>
      </w:r>
      <w:r>
        <w:rPr>
          <w:spacing w:val="-1"/>
        </w:rPr>
        <w:t>血站所采用检测技术特点完成标准征求意见稿</w:t>
      </w:r>
      <w:r>
        <w:rPr>
          <w:rFonts w:hint="eastAsia"/>
          <w:spacing w:val="-1"/>
          <w:lang w:eastAsia="zh-CN"/>
        </w:rPr>
        <w:t>。</w:t>
      </w:r>
    </w:p>
    <w:p w14:paraId="5126AB78">
      <w:pPr>
        <w:pStyle w:val="2"/>
        <w:keepNext w:val="0"/>
        <w:keepLines w:val="0"/>
        <w:pageBreakBefore w:val="0"/>
        <w:widowControl/>
        <w:kinsoku w:val="0"/>
        <w:wordWrap/>
        <w:overflowPunct/>
        <w:topLinePunct w:val="0"/>
        <w:autoSpaceDE w:val="0"/>
        <w:autoSpaceDN w:val="0"/>
        <w:bidi w:val="0"/>
        <w:adjustRightInd w:val="0"/>
        <w:snapToGrid w:val="0"/>
        <w:spacing w:before="45" w:line="399" w:lineRule="auto"/>
        <w:ind w:left="566"/>
        <w:textAlignment w:val="baseline"/>
      </w:pPr>
      <w:r>
        <w:rPr>
          <w:spacing w:val="-1"/>
        </w:rPr>
        <w:t>项目组主要收集和参考的标准如下：</w:t>
      </w:r>
    </w:p>
    <w:p w14:paraId="622E0AD6">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[1] FDA Guidance for Industry: Use of Nucleic Acid Tests on Pooled and Individual Samples from Donors of Whole Blood and Blood Components, including Source Plasma, to Reduce the Risk of Transmission of Hepatitis B Virus Additional. October 2012.</w:t>
      </w:r>
    </w:p>
    <w:p w14:paraId="7EFA20BF">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[2] FDA Guidance for Industry: Nucleic Acid Testing (NAT) for Human Immunodeficiency Virus Type 1 (HIV-1) and Hepatitis C Virus (HCV): Testing, Product Disposition, and Donor</w:t>
      </w:r>
    </w:p>
    <w:p w14:paraId="5CC72956">
      <w:pPr>
        <w:pStyle w:val="7"/>
        <w:keepNext w:val="0"/>
        <w:keepLines w:val="0"/>
        <w:pageBreakBefore w:val="0"/>
        <w:widowControl/>
        <w:kinsoku/>
        <w:wordWrap/>
        <w:overflowPunct/>
        <w:topLinePunct w:val="0"/>
        <w:autoSpaceDE w:val="0"/>
        <w:autoSpaceDN w:val="0"/>
        <w:bidi w:val="0"/>
        <w:adjustRightInd/>
        <w:snapToGrid/>
        <w:spacing w:line="399" w:lineRule="auto"/>
        <w:ind w:firstLine="0" w:firstLineChars="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Deferral and Reentry. Dec 2017：34-38.</w:t>
      </w:r>
    </w:p>
    <w:p w14:paraId="62861208">
      <w:pPr>
        <w:pStyle w:val="7"/>
        <w:keepNext w:val="0"/>
        <w:keepLines w:val="0"/>
        <w:pageBreakBefore w:val="0"/>
        <w:widowControl/>
        <w:numPr>
          <w:ilvl w:val="0"/>
          <w:numId w:val="1"/>
        </w:numPr>
        <w:kinsoku/>
        <w:wordWrap/>
        <w:overflowPunct/>
        <w:topLinePunct w:val="0"/>
        <w:autoSpaceDE w:val="0"/>
        <w:autoSpaceDN w:val="0"/>
        <w:bidi w:val="0"/>
        <w:adjustRightInd/>
        <w:snapToGrid/>
        <w:spacing w:line="399" w:lineRule="auto"/>
        <w:ind w:firstLine="42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JPAC.Chapter 9: Microbiology tests for donors and donations: general specifications for laboratory test procedures.Guidelines for the Blood Transfusion and Tissue Transplantation Services in the UK.http://www.transfusionguidelines.org.Accessed 15 May 2023.</w:t>
      </w:r>
    </w:p>
    <w:p w14:paraId="57B0A69B">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[4] FDA Guidance for Industry .Recommendations for Screening, Testing, and Management of Blood Donors and Blood and Blood Components Based on Screening Tests for Syphilis. December  2020.</w:t>
      </w:r>
    </w:p>
    <w:p w14:paraId="1DB5BDC6">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[5] FDA Guidance for Industry. Requalification Method for Reentry of Blood Donors Deferred Because of Reactive Test Results for Antibody to Hepatitis B Core Antigen (Anti-HBc).May 2010.</w:t>
      </w:r>
    </w:p>
    <w:p w14:paraId="52ED8089">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rFonts w:hint="eastAsia" w:ascii="仿宋" w:hAnsi="仿宋" w:eastAsia="仿宋" w:cs="仿宋"/>
          <w:snapToGrid w:val="0"/>
          <w:color w:val="000000"/>
          <w:spacing w:val="-4"/>
          <w:kern w:val="0"/>
          <w:sz w:val="24"/>
          <w:szCs w:val="24"/>
          <w:lang w:val="en-US" w:eastAsia="zh-CN" w:bidi="ar-SA"/>
        </w:rPr>
      </w:pPr>
      <w:r>
        <w:rPr>
          <w:rFonts w:hint="eastAsia" w:ascii="仿宋" w:hAnsi="仿宋" w:eastAsia="仿宋" w:cs="仿宋"/>
          <w:snapToGrid w:val="0"/>
          <w:color w:val="000000"/>
          <w:spacing w:val="-4"/>
          <w:kern w:val="0"/>
          <w:sz w:val="24"/>
          <w:szCs w:val="24"/>
          <w:lang w:val="en-US" w:eastAsia="zh-CN" w:bidi="ar-SA"/>
        </w:rPr>
        <w:t>[6] EDQM Guide to the preparation, use and quality assurance of blood components.18th Edition 2015:372.</w:t>
      </w:r>
    </w:p>
    <w:p w14:paraId="56407891">
      <w:pPr>
        <w:pStyle w:val="2"/>
        <w:keepNext w:val="0"/>
        <w:keepLines w:val="0"/>
        <w:pageBreakBefore w:val="0"/>
        <w:widowControl/>
        <w:kinsoku w:val="0"/>
        <w:wordWrap/>
        <w:overflowPunct/>
        <w:topLinePunct w:val="0"/>
        <w:autoSpaceDE w:val="0"/>
        <w:autoSpaceDN w:val="0"/>
        <w:bidi w:val="0"/>
        <w:adjustRightInd w:val="0"/>
        <w:snapToGrid w:val="0"/>
        <w:spacing w:before="116" w:line="399" w:lineRule="auto"/>
        <w:ind w:left="26" w:right="15" w:firstLine="12"/>
        <w:textAlignment w:val="baseline"/>
        <w:rPr>
          <w:spacing w:val="-1"/>
        </w:rPr>
      </w:pPr>
      <w:r>
        <w:rPr>
          <w:spacing w:val="21"/>
        </w:rPr>
        <w:t>7</w:t>
      </w:r>
      <w:r>
        <w:rPr>
          <w:spacing w:val="-79"/>
        </w:rPr>
        <w:t xml:space="preserve"> </w:t>
      </w:r>
      <w:r>
        <w:rPr>
          <w:spacing w:val="21"/>
        </w:rPr>
        <w:t>、</w:t>
      </w:r>
      <w:r>
        <w:rPr>
          <w:spacing w:val="-62"/>
        </w:rPr>
        <w:t xml:space="preserve"> </w:t>
      </w:r>
      <w:r>
        <w:rPr>
          <w:spacing w:val="21"/>
        </w:rPr>
        <w:t>中华人民共和国卫生健康委员会.《献血</w:t>
      </w:r>
      <w:r>
        <w:rPr>
          <w:spacing w:val="20"/>
        </w:rPr>
        <w:t>者健康检查要求》</w:t>
      </w:r>
      <w:r>
        <w:t xml:space="preserve"> </w:t>
      </w:r>
      <w:r>
        <w:rPr>
          <w:spacing w:val="-1"/>
        </w:rPr>
        <w:t>GB18467-2011</w:t>
      </w:r>
    </w:p>
    <w:p w14:paraId="20A3D772">
      <w:pPr>
        <w:pStyle w:val="2"/>
        <w:keepNext w:val="0"/>
        <w:keepLines w:val="0"/>
        <w:pageBreakBefore w:val="0"/>
        <w:widowControl/>
        <w:kinsoku w:val="0"/>
        <w:wordWrap/>
        <w:overflowPunct/>
        <w:topLinePunct w:val="0"/>
        <w:autoSpaceDE w:val="0"/>
        <w:autoSpaceDN w:val="0"/>
        <w:bidi w:val="0"/>
        <w:adjustRightInd w:val="0"/>
        <w:snapToGrid w:val="0"/>
        <w:spacing w:before="116" w:line="399" w:lineRule="auto"/>
        <w:ind w:left="26" w:right="15" w:firstLine="12"/>
        <w:textAlignment w:val="baseline"/>
        <w:rPr>
          <w:spacing w:val="-1"/>
        </w:rPr>
      </w:pPr>
      <w:r>
        <w:rPr>
          <w:rFonts w:hint="eastAsia"/>
          <w:spacing w:val="-1"/>
          <w:lang w:val="en-US" w:eastAsia="zh-CN"/>
        </w:rPr>
        <w:t>8、</w:t>
      </w:r>
      <w:r>
        <w:rPr>
          <w:spacing w:val="13"/>
        </w:rPr>
        <w:t>中华人民共和国卫生健康委员会.《全血及成分血质量要</w:t>
      </w:r>
      <w:r>
        <w:rPr>
          <w:spacing w:val="12"/>
        </w:rPr>
        <w:t>求》</w:t>
      </w:r>
      <w:r>
        <w:t xml:space="preserve"> </w:t>
      </w:r>
      <w:r>
        <w:rPr>
          <w:spacing w:val="-1"/>
        </w:rPr>
        <w:t>GB18469-2012</w:t>
      </w:r>
    </w:p>
    <w:p w14:paraId="097777F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99" w:line="399" w:lineRule="auto"/>
        <w:ind w:left="38" w:leftChars="0" w:right="11" w:rightChars="0"/>
        <w:textAlignment w:val="baseline"/>
        <w:rPr>
          <w:rFonts w:hint="eastAsia"/>
          <w:spacing w:val="-1"/>
          <w:lang w:val="en-US" w:eastAsia="zh-CN"/>
        </w:rPr>
      </w:pPr>
      <w:r>
        <w:rPr>
          <w:spacing w:val="5"/>
        </w:rPr>
        <w:t>9、中华人民共和国卫生健康委员会.《血站操作技术规程（</w:t>
      </w:r>
      <w:r>
        <w:rPr>
          <w:spacing w:val="-69"/>
        </w:rPr>
        <w:t xml:space="preserve"> </w:t>
      </w:r>
      <w:r>
        <w:rPr>
          <w:spacing w:val="5"/>
        </w:rPr>
        <w:t>201</w:t>
      </w:r>
      <w:r>
        <w:rPr>
          <w:rFonts w:hint="eastAsia"/>
          <w:spacing w:val="5"/>
          <w:lang w:val="en-US" w:eastAsia="zh-CN"/>
        </w:rPr>
        <w:t>9</w:t>
      </w:r>
      <w:r>
        <w:t xml:space="preserve"> </w:t>
      </w:r>
      <w:r>
        <w:rPr>
          <w:spacing w:val="-1"/>
        </w:rPr>
        <w:t>版）》.20</w:t>
      </w:r>
      <w:r>
        <w:rPr>
          <w:rFonts w:hint="eastAsia"/>
          <w:spacing w:val="-1"/>
          <w:lang w:val="en-US" w:eastAsia="zh-CN"/>
        </w:rPr>
        <w:t>19</w:t>
      </w:r>
      <w:r>
        <w:rPr>
          <w:spacing w:val="-1"/>
        </w:rPr>
        <w:t>-</w:t>
      </w:r>
      <w:r>
        <w:rPr>
          <w:rFonts w:hint="eastAsia"/>
          <w:spacing w:val="-1"/>
          <w:lang w:val="en-US" w:eastAsia="zh-CN"/>
        </w:rPr>
        <w:t>04</w:t>
      </w:r>
    </w:p>
    <w:p w14:paraId="4AA6690C">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99" w:line="399" w:lineRule="auto"/>
        <w:ind w:left="38" w:leftChars="0" w:right="11" w:rightChars="0"/>
        <w:textAlignment w:val="baseline"/>
        <w:rPr>
          <w:rFonts w:ascii="黑体" w:hAnsi="黑体" w:eastAsia="黑体" w:cs="黑体"/>
          <w:sz w:val="28"/>
          <w:szCs w:val="28"/>
        </w:rPr>
      </w:pPr>
      <w:r>
        <w:rPr>
          <w:rFonts w:ascii="黑体" w:hAnsi="黑体" w:eastAsia="黑体" w:cs="黑体"/>
          <w:b/>
          <w:bCs/>
          <w:spacing w:val="-8"/>
          <w:sz w:val="28"/>
          <w:szCs w:val="28"/>
        </w:rPr>
        <w:t>四、</w:t>
      </w:r>
      <w:r>
        <w:rPr>
          <w:rFonts w:ascii="黑体" w:hAnsi="黑体" w:eastAsia="黑体" w:cs="黑体"/>
          <w:spacing w:val="35"/>
          <w:sz w:val="28"/>
          <w:szCs w:val="28"/>
        </w:rPr>
        <w:t xml:space="preserve"> </w:t>
      </w:r>
      <w:r>
        <w:rPr>
          <w:rFonts w:ascii="黑体" w:hAnsi="黑体" w:eastAsia="黑体" w:cs="黑体"/>
          <w:b/>
          <w:bCs/>
          <w:spacing w:val="-8"/>
          <w:sz w:val="28"/>
          <w:szCs w:val="28"/>
        </w:rPr>
        <w:t>标准制订原则</w:t>
      </w:r>
    </w:p>
    <w:p w14:paraId="6E4B94B7">
      <w:pPr>
        <w:pStyle w:val="2"/>
        <w:spacing w:before="292" w:line="217" w:lineRule="auto"/>
        <w:ind w:left="43"/>
      </w:pPr>
      <w:r>
        <w:rPr>
          <w:spacing w:val="-6"/>
        </w:rPr>
        <w:t>1．保障血液安全的原则</w:t>
      </w:r>
    </w:p>
    <w:p w14:paraId="0314E959">
      <w:pPr>
        <w:pStyle w:val="2"/>
        <w:spacing w:before="294" w:line="404" w:lineRule="auto"/>
        <w:ind w:left="23" w:right="87" w:firstLine="422"/>
        <w:jc w:val="both"/>
        <w:rPr>
          <w:spacing w:val="1"/>
        </w:rPr>
      </w:pPr>
      <w:r>
        <w:rPr>
          <w:spacing w:val="1"/>
        </w:rPr>
        <w:t>血液质量控制作为确保血液质量的有效手段之一，即根据《献血者健康检查要求》GB18467-2011、《全血及成分血质量要求》GB18469-2012、 《血站操作技术规程（201</w:t>
      </w:r>
      <w:r>
        <w:rPr>
          <w:rFonts w:hint="eastAsia"/>
          <w:spacing w:val="1"/>
          <w:lang w:val="en-US" w:eastAsia="zh-CN"/>
        </w:rPr>
        <w:t>9</w:t>
      </w:r>
      <w:r>
        <w:rPr>
          <w:spacing w:val="1"/>
        </w:rPr>
        <w:t xml:space="preserve"> 版）》规定的检查要求和质量控制项目对血液实施常规检测，根据检测结 果进行献血者屏蔽或进入召回流程。在保障血液安全的基础上，为开展可经输血传播感染病原体标志物血清学检测反应性核酸检测无反应性献血者屏蔽与归队工作的采供血机构提供一个技术途径。</w:t>
      </w:r>
    </w:p>
    <w:p w14:paraId="3D0B8E41">
      <w:pPr>
        <w:pStyle w:val="2"/>
        <w:spacing w:before="46" w:line="218" w:lineRule="auto"/>
        <w:ind w:left="36"/>
      </w:pPr>
      <w:r>
        <w:rPr>
          <w:spacing w:val="-1"/>
        </w:rPr>
        <w:t>2．参照发达国家相关标准, 与我国国情相结合的原则</w:t>
      </w:r>
    </w:p>
    <w:p w14:paraId="1BF25278">
      <w:pPr>
        <w:pStyle w:val="2"/>
        <w:spacing w:before="294" w:line="404" w:lineRule="auto"/>
        <w:ind w:left="23" w:right="87" w:firstLine="422"/>
        <w:jc w:val="both"/>
      </w:pPr>
      <w:r>
        <w:rPr>
          <w:spacing w:val="1"/>
        </w:rPr>
        <w:t>本标准在修订时广泛参考了美国、英国、欧盟等发达国家的</w:t>
      </w:r>
      <w:r>
        <w:rPr>
          <w:rFonts w:hint="eastAsia"/>
          <w:spacing w:val="1"/>
          <w:lang w:val="en-US" w:eastAsia="zh-CN"/>
        </w:rPr>
        <w:t>最新</w:t>
      </w:r>
      <w:r>
        <w:rPr>
          <w:spacing w:val="1"/>
        </w:rPr>
        <w:t>相关</w:t>
      </w:r>
      <w:r>
        <w:rPr>
          <w:spacing w:val="-3"/>
        </w:rPr>
        <w:t>标准，并充分考虑了我国的国情和现有技术</w:t>
      </w:r>
      <w:r>
        <w:rPr>
          <w:spacing w:val="-4"/>
        </w:rPr>
        <w:t>水平。在编写中借鉴了国外较成熟的献血者归队技术流程，在确保归队献血者所捐血液符合现</w:t>
      </w:r>
      <w:r>
        <w:rPr>
          <w:spacing w:val="-1"/>
        </w:rPr>
        <w:t>有国家标准的前提下，也充分考虑了国内输血领域的实际情况。</w:t>
      </w:r>
    </w:p>
    <w:p w14:paraId="5768F419">
      <w:pPr>
        <w:pStyle w:val="2"/>
        <w:spacing w:before="44" w:line="218" w:lineRule="auto"/>
        <w:ind w:left="47"/>
      </w:pPr>
      <w:r>
        <w:rPr>
          <w:spacing w:val="-3"/>
        </w:rPr>
        <w:t>3．与相关标准相协调的原则</w:t>
      </w:r>
    </w:p>
    <w:p w14:paraId="2D779FCF">
      <w:pPr>
        <w:pStyle w:val="2"/>
        <w:keepNext w:val="0"/>
        <w:keepLines w:val="0"/>
        <w:pageBreakBefore w:val="0"/>
        <w:widowControl/>
        <w:kinsoku w:val="0"/>
        <w:wordWrap/>
        <w:overflowPunct/>
        <w:topLinePunct w:val="0"/>
        <w:autoSpaceDE w:val="0"/>
        <w:autoSpaceDN w:val="0"/>
        <w:bidi w:val="0"/>
        <w:adjustRightInd w:val="0"/>
        <w:snapToGrid w:val="0"/>
        <w:spacing w:before="291" w:line="399" w:lineRule="auto"/>
        <w:ind w:left="50" w:right="90" w:firstLine="530"/>
        <w:textAlignment w:val="baseline"/>
        <w:rPr>
          <w:spacing w:val="-3"/>
        </w:rPr>
      </w:pPr>
      <w:r>
        <w:rPr>
          <w:spacing w:val="-3"/>
        </w:rPr>
        <w:t>本标准在制订时</w:t>
      </w:r>
      <w:r>
        <w:rPr>
          <w:rFonts w:hint="eastAsia"/>
          <w:spacing w:val="-3"/>
          <w:lang w:eastAsia="zh-CN"/>
        </w:rPr>
        <w:t>，</w:t>
      </w:r>
      <w:r>
        <w:rPr>
          <w:spacing w:val="-3"/>
        </w:rPr>
        <w:t>充分考虑到与《 献血者健康检查要求 》GB18467-2011、《全血及成分血质量要求》GB18469 和《血站技术操 作规程》（2015 版）的统一协调性，避免有原则性的冲突和矛盾。</w:t>
      </w:r>
    </w:p>
    <w:p w14:paraId="2B751A2C">
      <w:pPr>
        <w:pStyle w:val="2"/>
        <w:spacing w:before="47" w:line="216" w:lineRule="auto"/>
        <w:ind w:left="35"/>
      </w:pPr>
      <w:r>
        <w:rPr>
          <w:spacing w:val="-2"/>
        </w:rPr>
        <w:t>4．坚持科学发展观和可行性的原则</w:t>
      </w:r>
    </w:p>
    <w:p w14:paraId="03AA688D">
      <w:pPr>
        <w:pStyle w:val="2"/>
        <w:keepNext w:val="0"/>
        <w:keepLines w:val="0"/>
        <w:pageBreakBefore w:val="0"/>
        <w:widowControl/>
        <w:kinsoku w:val="0"/>
        <w:wordWrap/>
        <w:overflowPunct/>
        <w:topLinePunct w:val="0"/>
        <w:autoSpaceDE w:val="0"/>
        <w:autoSpaceDN w:val="0"/>
        <w:bidi w:val="0"/>
        <w:adjustRightInd w:val="0"/>
        <w:snapToGrid w:val="0"/>
        <w:spacing w:before="291" w:line="399" w:lineRule="auto"/>
        <w:ind w:right="90" w:firstLine="548" w:firstLineChars="200"/>
        <w:textAlignment w:val="baseline"/>
        <w:rPr>
          <w:spacing w:val="-3"/>
        </w:rPr>
      </w:pPr>
      <w:r>
        <w:rPr>
          <w:spacing w:val="-3"/>
        </w:rPr>
        <w:t>本标准在参考国外的相关标准时，并不是照搬照抄，而是结合相关的 实验数据后，才对主要的技术指标进行技术要求，充分考虑了行业 适宜性、有效性和可行性。</w:t>
      </w:r>
    </w:p>
    <w:p w14:paraId="56BC0E41">
      <w:pPr>
        <w:spacing w:before="46" w:line="220" w:lineRule="auto"/>
        <w:ind w:left="34"/>
        <w:outlineLvl w:val="1"/>
        <w:rPr>
          <w:rFonts w:ascii="黑体" w:hAnsi="黑体" w:eastAsia="黑体" w:cs="黑体"/>
          <w:sz w:val="28"/>
          <w:szCs w:val="28"/>
        </w:rPr>
      </w:pPr>
      <w:r>
        <w:rPr>
          <w:rFonts w:ascii="黑体" w:hAnsi="黑体" w:eastAsia="黑体" w:cs="黑体"/>
          <w:b/>
          <w:bCs/>
          <w:spacing w:val="-4"/>
          <w:sz w:val="28"/>
          <w:szCs w:val="28"/>
        </w:rPr>
        <w:t>五、本标准与其他法律和标准的关系</w:t>
      </w:r>
    </w:p>
    <w:p w14:paraId="6056F3F0">
      <w:pPr>
        <w:pStyle w:val="2"/>
        <w:keepNext w:val="0"/>
        <w:keepLines w:val="0"/>
        <w:pageBreakBefore w:val="0"/>
        <w:widowControl/>
        <w:kinsoku w:val="0"/>
        <w:wordWrap/>
        <w:overflowPunct/>
        <w:topLinePunct w:val="0"/>
        <w:autoSpaceDE w:val="0"/>
        <w:autoSpaceDN w:val="0"/>
        <w:bidi w:val="0"/>
        <w:adjustRightInd w:val="0"/>
        <w:snapToGrid w:val="0"/>
        <w:spacing w:before="291" w:line="399" w:lineRule="auto"/>
        <w:ind w:left="50" w:right="90" w:firstLine="530"/>
        <w:textAlignment w:val="baseline"/>
      </w:pPr>
      <w:r>
        <w:rPr>
          <w:spacing w:val="-4"/>
        </w:rPr>
        <w:t>根据卫生行政部门血液标准研制计划，《反应性献血者屏蔽与归</w:t>
      </w:r>
      <w:r>
        <w:rPr>
          <w:spacing w:val="11"/>
        </w:rPr>
        <w:t xml:space="preserve"> </w:t>
      </w:r>
      <w:r>
        <w:rPr>
          <w:spacing w:val="-4"/>
        </w:rPr>
        <w:t>队指南》是依据《全血及成分血质量要求》GB18469-2012、《血站技</w:t>
      </w:r>
      <w:r>
        <w:rPr>
          <w:spacing w:val="-6"/>
        </w:rPr>
        <w:t>术操作规程》（201</w:t>
      </w:r>
      <w:r>
        <w:rPr>
          <w:rFonts w:hint="eastAsia"/>
          <w:spacing w:val="-6"/>
          <w:lang w:val="en-US" w:eastAsia="zh-CN"/>
        </w:rPr>
        <w:t>9</w:t>
      </w:r>
      <w:r>
        <w:rPr>
          <w:spacing w:val="-54"/>
        </w:rPr>
        <w:t xml:space="preserve"> </w:t>
      </w:r>
      <w:r>
        <w:rPr>
          <w:spacing w:val="-6"/>
        </w:rPr>
        <w:t>版）而制订的行业标准，本标准是国标的配套标</w:t>
      </w:r>
      <w:r>
        <w:t xml:space="preserve"> </w:t>
      </w:r>
      <w:r>
        <w:rPr>
          <w:spacing w:val="-3"/>
        </w:rPr>
        <w:t>准。国标规定了“监测指标”和“目标值”，本行业标</w:t>
      </w:r>
      <w:r>
        <w:rPr>
          <w:spacing w:val="-4"/>
        </w:rPr>
        <w:t>准则对“可经</w:t>
      </w:r>
      <w:r>
        <w:t xml:space="preserve"> </w:t>
      </w:r>
      <w:r>
        <w:rPr>
          <w:spacing w:val="-4"/>
        </w:rPr>
        <w:t>血传播感染病原体标志物HBsAg、Anti-HCV或HCV</w:t>
      </w:r>
      <w:r>
        <w:rPr>
          <w:spacing w:val="-56"/>
        </w:rPr>
        <w:t xml:space="preserve"> </w:t>
      </w:r>
      <w:r>
        <w:rPr>
          <w:spacing w:val="-4"/>
        </w:rPr>
        <w:t>Ag-Ab、Anti-HIV1+2</w:t>
      </w:r>
      <w:r>
        <w:t xml:space="preserve"> </w:t>
      </w:r>
      <w:r>
        <w:rPr>
          <w:spacing w:val="-2"/>
        </w:rPr>
        <w:t>或</w:t>
      </w:r>
      <w:r>
        <w:rPr>
          <w:spacing w:val="-39"/>
        </w:rPr>
        <w:t xml:space="preserve"> </w:t>
      </w:r>
      <w:r>
        <w:rPr>
          <w:spacing w:val="-2"/>
        </w:rPr>
        <w:t>HIV</w:t>
      </w:r>
      <w:r>
        <w:rPr>
          <w:spacing w:val="-61"/>
        </w:rPr>
        <w:t xml:space="preserve"> </w:t>
      </w:r>
      <w:r>
        <w:rPr>
          <w:spacing w:val="-2"/>
        </w:rPr>
        <w:t>Ag-Ab1+2、Anti-TP</w:t>
      </w:r>
      <w:r>
        <w:rPr>
          <w:spacing w:val="-64"/>
        </w:rPr>
        <w:t xml:space="preserve"> </w:t>
      </w:r>
      <w:r>
        <w:rPr>
          <w:spacing w:val="-2"/>
        </w:rPr>
        <w:t>检测结果为单项目且单试剂反应性、核酸</w:t>
      </w:r>
      <w:r>
        <w:t xml:space="preserve"> </w:t>
      </w:r>
      <w:r>
        <w:rPr>
          <w:spacing w:val="-3"/>
        </w:rPr>
        <w:t>检测无反应性献血者如何进行屏蔽与归队”，包括如</w:t>
      </w:r>
      <w:r>
        <w:rPr>
          <w:spacing w:val="-4"/>
        </w:rPr>
        <w:t>何进行病毒标志</w:t>
      </w:r>
      <w:r>
        <w:t xml:space="preserve"> </w:t>
      </w:r>
      <w:r>
        <w:rPr>
          <w:spacing w:val="-3"/>
        </w:rPr>
        <w:t>物筛查试验，筛查反应性结果采用何种补充试</w:t>
      </w:r>
      <w:r>
        <w:rPr>
          <w:spacing w:val="-4"/>
        </w:rPr>
        <w:t>验，结合筛查试验和补</w:t>
      </w:r>
      <w:r>
        <w:t xml:space="preserve"> </w:t>
      </w:r>
      <w:r>
        <w:rPr>
          <w:spacing w:val="-3"/>
        </w:rPr>
        <w:t>充试验检测结果如何来判断献血者是否可进</w:t>
      </w:r>
      <w:r>
        <w:rPr>
          <w:spacing w:val="-4"/>
        </w:rPr>
        <w:t>入归队流程，屏蔽规则及</w:t>
      </w:r>
      <w:r>
        <w:rPr>
          <w:spacing w:val="-3"/>
        </w:rPr>
        <w:t>归队条件，献血者屏蔽后采集标本检测及归队流程等给出指导意见，</w:t>
      </w:r>
      <w:r>
        <w:rPr>
          <w:spacing w:val="17"/>
        </w:rPr>
        <w:t xml:space="preserve"> </w:t>
      </w:r>
      <w:r>
        <w:rPr>
          <w:spacing w:val="-3"/>
        </w:rPr>
        <w:t>指导采供血机构开展有效的“可经输血传播</w:t>
      </w:r>
      <w:r>
        <w:rPr>
          <w:spacing w:val="-4"/>
        </w:rPr>
        <w:t>感染病原体标志物血清学</w:t>
      </w:r>
      <w:r>
        <w:t xml:space="preserve"> </w:t>
      </w:r>
      <w:r>
        <w:rPr>
          <w:spacing w:val="-1"/>
        </w:rPr>
        <w:t>检测反应性而核酸检测无反应献血者屏蔽与归队”工作。</w:t>
      </w:r>
    </w:p>
    <w:p w14:paraId="768131E0">
      <w:pPr>
        <w:spacing w:before="45" w:line="219" w:lineRule="auto"/>
        <w:ind w:left="32"/>
        <w:outlineLvl w:val="1"/>
        <w:rPr>
          <w:rFonts w:ascii="黑体" w:hAnsi="黑体" w:eastAsia="黑体" w:cs="黑体"/>
          <w:sz w:val="28"/>
          <w:szCs w:val="28"/>
        </w:rPr>
      </w:pPr>
      <w:r>
        <w:rPr>
          <w:rFonts w:ascii="黑体" w:hAnsi="黑体" w:eastAsia="黑体" w:cs="黑体"/>
          <w:b/>
          <w:bCs/>
          <w:spacing w:val="-4"/>
          <w:sz w:val="28"/>
          <w:szCs w:val="28"/>
        </w:rPr>
        <w:t>六、主要制订的技术指标说明</w:t>
      </w:r>
    </w:p>
    <w:p w14:paraId="2FEF16B9">
      <w:pPr>
        <w:pStyle w:val="2"/>
        <w:spacing w:before="293" w:line="219" w:lineRule="auto"/>
        <w:ind w:left="444"/>
      </w:pPr>
      <w:r>
        <w:rPr>
          <w:spacing w:val="-18"/>
        </w:rPr>
        <w:t>(一)范围</w:t>
      </w:r>
    </w:p>
    <w:p w14:paraId="7D61B56B">
      <w:pPr>
        <w:pStyle w:val="2"/>
        <w:spacing w:before="291" w:line="404" w:lineRule="auto"/>
        <w:ind w:left="28" w:firstLine="416"/>
      </w:pPr>
      <w:r>
        <w:rPr>
          <w:spacing w:val="-1"/>
        </w:rPr>
        <w:t>本标准针对可经输血传播疾病病原体标志物</w:t>
      </w:r>
      <w:r>
        <w:rPr>
          <w:spacing w:val="-31"/>
        </w:rPr>
        <w:t xml:space="preserve"> </w:t>
      </w:r>
      <w:r>
        <w:rPr>
          <w:spacing w:val="-1"/>
        </w:rPr>
        <w:t>HBsAg、Anti</w:t>
      </w:r>
      <w:r>
        <w:rPr>
          <w:spacing w:val="-2"/>
        </w:rPr>
        <w:t>-HCV</w:t>
      </w:r>
      <w:r>
        <w:rPr>
          <w:spacing w:val="-37"/>
        </w:rPr>
        <w:t xml:space="preserve"> </w:t>
      </w:r>
      <w:r>
        <w:rPr>
          <w:spacing w:val="-2"/>
        </w:rPr>
        <w:t>或</w:t>
      </w:r>
      <w:r>
        <w:t xml:space="preserve"> </w:t>
      </w:r>
      <w:r>
        <w:rPr>
          <w:spacing w:val="-1"/>
        </w:rPr>
        <w:t>HCV Ag-Ab、Anti-HIV1</w:t>
      </w:r>
      <w:r>
        <w:rPr>
          <w:spacing w:val="-2"/>
        </w:rPr>
        <w:t>+2 或 HIV Ag-Ab1+2、Anti-TP</w:t>
      </w:r>
      <w:r>
        <w:rPr>
          <w:spacing w:val="-25"/>
        </w:rPr>
        <w:t xml:space="preserve"> </w:t>
      </w:r>
      <w:r>
        <w:rPr>
          <w:spacing w:val="-2"/>
        </w:rPr>
        <w:t>检测结果为反</w:t>
      </w:r>
      <w:r>
        <w:t xml:space="preserve"> </w:t>
      </w:r>
      <w:r>
        <w:rPr>
          <w:spacing w:val="-10"/>
        </w:rPr>
        <w:t>应性、核酸检测无反应性献血者制定的屏蔽与归队指南，适用于全血、</w:t>
      </w:r>
      <w:r>
        <w:rPr>
          <w:spacing w:val="7"/>
        </w:rPr>
        <w:t xml:space="preserve"> </w:t>
      </w:r>
      <w:r>
        <w:rPr>
          <w:spacing w:val="-2"/>
        </w:rPr>
        <w:t>单采成分血献血者。</w:t>
      </w:r>
    </w:p>
    <w:p w14:paraId="45BE1D49">
      <w:pPr>
        <w:pStyle w:val="2"/>
        <w:keepNext w:val="0"/>
        <w:keepLines w:val="0"/>
        <w:pageBreakBefore w:val="0"/>
        <w:widowControl/>
        <w:kinsoku w:val="0"/>
        <w:wordWrap/>
        <w:overflowPunct/>
        <w:topLinePunct w:val="0"/>
        <w:autoSpaceDE w:val="0"/>
        <w:autoSpaceDN w:val="0"/>
        <w:bidi w:val="0"/>
        <w:adjustRightInd w:val="0"/>
        <w:snapToGrid w:val="0"/>
        <w:spacing w:before="45" w:line="399" w:lineRule="auto"/>
        <w:ind w:left="384"/>
        <w:textAlignment w:val="baseline"/>
        <w:rPr>
          <w:sz w:val="28"/>
          <w:szCs w:val="28"/>
        </w:rPr>
      </w:pPr>
      <w:r>
        <w:rPr>
          <w:spacing w:val="-7"/>
          <w:sz w:val="28"/>
          <w:szCs w:val="28"/>
        </w:rPr>
        <w:t>(二) 规范性引用文件</w:t>
      </w:r>
    </w:p>
    <w:p w14:paraId="6090F368">
      <w:pPr>
        <w:pStyle w:val="2"/>
        <w:keepNext w:val="0"/>
        <w:keepLines w:val="0"/>
        <w:pageBreakBefore w:val="0"/>
        <w:widowControl/>
        <w:kinsoku w:val="0"/>
        <w:wordWrap/>
        <w:overflowPunct/>
        <w:topLinePunct w:val="0"/>
        <w:autoSpaceDE w:val="0"/>
        <w:autoSpaceDN w:val="0"/>
        <w:bidi w:val="0"/>
        <w:adjustRightInd w:val="0"/>
        <w:snapToGrid w:val="0"/>
        <w:spacing w:before="91" w:line="399" w:lineRule="auto"/>
        <w:ind w:left="20" w:right="86" w:firstLine="563"/>
        <w:textAlignment w:val="baseline"/>
        <w:rPr>
          <w:sz w:val="28"/>
          <w:szCs w:val="28"/>
        </w:rPr>
      </w:pPr>
      <w:r>
        <w:rPr>
          <w:spacing w:val="-4"/>
          <w:sz w:val="28"/>
          <w:szCs w:val="28"/>
        </w:rPr>
        <w:t>本标准作为衔接《献血者健康检查要求》GB18467-2011、《全血</w:t>
      </w:r>
      <w:r>
        <w:rPr>
          <w:spacing w:val="14"/>
          <w:sz w:val="28"/>
          <w:szCs w:val="28"/>
        </w:rPr>
        <w:t xml:space="preserve"> </w:t>
      </w:r>
      <w:r>
        <w:rPr>
          <w:spacing w:val="-2"/>
          <w:sz w:val="28"/>
          <w:szCs w:val="28"/>
        </w:rPr>
        <w:t>及成分血质量要求》GB18469-2012、《血站技术操作规程》（</w:t>
      </w:r>
      <w:r>
        <w:rPr>
          <w:spacing w:val="-74"/>
          <w:sz w:val="28"/>
          <w:szCs w:val="28"/>
        </w:rPr>
        <w:t xml:space="preserve"> </w:t>
      </w:r>
      <w:r>
        <w:rPr>
          <w:spacing w:val="-2"/>
          <w:sz w:val="28"/>
          <w:szCs w:val="28"/>
        </w:rPr>
        <w:t>2015</w:t>
      </w:r>
      <w:r>
        <w:rPr>
          <w:rFonts w:hint="eastAsia"/>
          <w:spacing w:val="-2"/>
          <w:sz w:val="28"/>
          <w:szCs w:val="28"/>
          <w:lang w:val="en-US" w:eastAsia="zh-CN"/>
        </w:rPr>
        <w:t>9</w:t>
      </w:r>
      <w:r>
        <w:rPr>
          <w:sz w:val="28"/>
          <w:szCs w:val="28"/>
        </w:rPr>
        <w:t xml:space="preserve"> </w:t>
      </w:r>
      <w:r>
        <w:rPr>
          <w:spacing w:val="-3"/>
          <w:sz w:val="28"/>
          <w:szCs w:val="28"/>
        </w:rPr>
        <w:t>版）的配套标准，依据其规定的常规血液检</w:t>
      </w:r>
      <w:r>
        <w:rPr>
          <w:spacing w:val="-4"/>
          <w:sz w:val="28"/>
          <w:szCs w:val="28"/>
        </w:rPr>
        <w:t>测程序，因此引用该标准</w:t>
      </w:r>
      <w:r>
        <w:rPr>
          <w:sz w:val="28"/>
          <w:szCs w:val="28"/>
        </w:rPr>
        <w:t xml:space="preserve"> </w:t>
      </w:r>
      <w:r>
        <w:rPr>
          <w:spacing w:val="-4"/>
          <w:sz w:val="28"/>
          <w:szCs w:val="28"/>
        </w:rPr>
        <w:t>作为规范性引用文件。</w:t>
      </w:r>
    </w:p>
    <w:p w14:paraId="7ECE7F95">
      <w:pPr>
        <w:pStyle w:val="2"/>
        <w:keepNext w:val="0"/>
        <w:keepLines w:val="0"/>
        <w:pageBreakBefore w:val="0"/>
        <w:widowControl/>
        <w:numPr>
          <w:ilvl w:val="0"/>
          <w:numId w:val="2"/>
        </w:numPr>
        <w:kinsoku w:val="0"/>
        <w:wordWrap/>
        <w:overflowPunct/>
        <w:topLinePunct w:val="0"/>
        <w:autoSpaceDE w:val="0"/>
        <w:autoSpaceDN w:val="0"/>
        <w:bidi w:val="0"/>
        <w:adjustRightInd w:val="0"/>
        <w:snapToGrid w:val="0"/>
        <w:spacing w:before="202" w:line="399" w:lineRule="auto"/>
        <w:ind w:left="384"/>
        <w:textAlignment w:val="baseline"/>
        <w:rPr>
          <w:sz w:val="28"/>
          <w:szCs w:val="28"/>
        </w:rPr>
      </w:pPr>
      <w:r>
        <w:rPr>
          <w:spacing w:val="-16"/>
          <w:sz w:val="28"/>
          <w:szCs w:val="28"/>
        </w:rPr>
        <w:t>定义</w:t>
      </w:r>
    </w:p>
    <w:p w14:paraId="1A98177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202" w:line="399" w:lineRule="auto"/>
        <w:ind w:firstLine="564" w:firstLineChars="200"/>
        <w:textAlignment w:val="baseline"/>
        <w:rPr>
          <w:sz w:val="28"/>
          <w:szCs w:val="28"/>
        </w:rPr>
      </w:pPr>
      <w:r>
        <w:rPr>
          <w:spacing w:val="1"/>
          <w:sz w:val="28"/>
          <w:szCs w:val="28"/>
        </w:rPr>
        <w:t>献血者归队的定义为，通过一段时间的暂时屏蔽，采用进一步的</w:t>
      </w:r>
      <w:r>
        <w:rPr>
          <w:spacing w:val="-3"/>
          <w:sz w:val="28"/>
          <w:szCs w:val="28"/>
        </w:rPr>
        <w:t>健康征询和适当的检测方法，表明被屏蔽的可经输血传播疾</w:t>
      </w:r>
      <w:r>
        <w:rPr>
          <w:spacing w:val="-4"/>
          <w:sz w:val="28"/>
          <w:szCs w:val="28"/>
        </w:rPr>
        <w:t>感染原体</w:t>
      </w:r>
      <w:r>
        <w:rPr>
          <w:spacing w:val="1"/>
          <w:sz w:val="28"/>
          <w:szCs w:val="28"/>
        </w:rPr>
        <w:t>标志物血液筛查反应性献血者符合国家标准《献血者健康检查要求》</w:t>
      </w:r>
      <w:r>
        <w:rPr>
          <w:spacing w:val="18"/>
          <w:sz w:val="28"/>
          <w:szCs w:val="28"/>
        </w:rPr>
        <w:t xml:space="preserve"> </w:t>
      </w:r>
      <w:r>
        <w:rPr>
          <w:spacing w:val="-2"/>
          <w:sz w:val="28"/>
          <w:szCs w:val="28"/>
        </w:rPr>
        <w:t>（GB18467-2011）和《血站技术操</w:t>
      </w:r>
      <w:r>
        <w:rPr>
          <w:spacing w:val="-3"/>
          <w:sz w:val="28"/>
          <w:szCs w:val="28"/>
        </w:rPr>
        <w:t>作规程（2015版）》要求，准许其</w:t>
      </w:r>
      <w:r>
        <w:rPr>
          <w:sz w:val="28"/>
          <w:szCs w:val="28"/>
        </w:rPr>
        <w:t xml:space="preserve">  </w:t>
      </w:r>
      <w:r>
        <w:rPr>
          <w:spacing w:val="-1"/>
          <w:sz w:val="28"/>
          <w:szCs w:val="28"/>
        </w:rPr>
        <w:t>再次参加献血（即：解除屏蔽）的程序。</w:t>
      </w:r>
    </w:p>
    <w:p w14:paraId="52669974">
      <w:pPr>
        <w:pStyle w:val="2"/>
        <w:numPr>
          <w:ilvl w:val="0"/>
          <w:numId w:val="2"/>
        </w:numPr>
        <w:spacing w:before="42" w:line="219" w:lineRule="auto"/>
        <w:ind w:left="384" w:leftChars="0" w:firstLine="0" w:firstLineChars="0"/>
      </w:pPr>
      <w:r>
        <w:rPr>
          <w:spacing w:val="-5"/>
        </w:rPr>
        <w:t>献血者归队基本原理与程序</w:t>
      </w:r>
    </w:p>
    <w:p w14:paraId="081D04A7">
      <w:pPr>
        <w:pStyle w:val="2"/>
        <w:keepNext w:val="0"/>
        <w:keepLines w:val="0"/>
        <w:pageBreakBefore w:val="0"/>
        <w:widowControl/>
        <w:kinsoku w:val="0"/>
        <w:wordWrap/>
        <w:overflowPunct/>
        <w:topLinePunct w:val="0"/>
        <w:autoSpaceDE w:val="0"/>
        <w:autoSpaceDN w:val="0"/>
        <w:bidi w:val="0"/>
        <w:adjustRightInd w:val="0"/>
        <w:snapToGrid w:val="0"/>
        <w:spacing w:before="294" w:line="399" w:lineRule="auto"/>
        <w:ind w:left="298" w:leftChars="142" w:right="136" w:firstLine="545" w:firstLineChars="199"/>
        <w:jc w:val="both"/>
        <w:textAlignment w:val="baseline"/>
      </w:pPr>
      <w:r>
        <w:rPr>
          <w:spacing w:val="-3"/>
        </w:rPr>
        <w:t>本标准依据《献血者健康检查要求》GB18467-2011、《全血及成分血</w:t>
      </w:r>
      <w:r>
        <w:rPr>
          <w:spacing w:val="-1"/>
        </w:rPr>
        <w:t>质量要求》GB18469-2012、《血站操作技术规程（</w:t>
      </w:r>
      <w:r>
        <w:rPr>
          <w:spacing w:val="-65"/>
        </w:rPr>
        <w:t xml:space="preserve"> </w:t>
      </w:r>
      <w:r>
        <w:rPr>
          <w:spacing w:val="-1"/>
        </w:rPr>
        <w:t>201</w:t>
      </w:r>
      <w:r>
        <w:rPr>
          <w:rFonts w:hint="eastAsia"/>
          <w:spacing w:val="-1"/>
          <w:lang w:val="en-US" w:eastAsia="zh-CN"/>
        </w:rPr>
        <w:t>9</w:t>
      </w:r>
      <w:r>
        <w:rPr>
          <w:spacing w:val="-1"/>
        </w:rPr>
        <w:t xml:space="preserve"> 版）》中规定的血液检测项目，参考了</w:t>
      </w:r>
    </w:p>
    <w:p w14:paraId="138357AA">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sz w:val="24"/>
          <w:szCs w:val="24"/>
        </w:rPr>
      </w:pPr>
      <w:r>
        <w:rPr>
          <w:rFonts w:hint="eastAsia"/>
          <w:sz w:val="24"/>
          <w:szCs w:val="24"/>
        </w:rPr>
        <w:t>[1] FDA Guidance for Industry: Use of Nucleic Acid Tests on Pooled and Individual Samples from Donors of Whole Blood and Blood Components, including Source Plasma, to Reduce the Risk of Transmission of Hepatitis B Virus Additional. October 2012.</w:t>
      </w:r>
    </w:p>
    <w:p w14:paraId="3464C7A5">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sz w:val="24"/>
          <w:szCs w:val="24"/>
        </w:rPr>
      </w:pPr>
      <w:r>
        <w:rPr>
          <w:rFonts w:hint="eastAsia"/>
          <w:sz w:val="24"/>
          <w:szCs w:val="24"/>
        </w:rPr>
        <w:t>[2] FDA Guidance for Industry: Nucleic Acid Testing (NAT) for Human Immunodeficiency Virus Type 1 (HIV-1) and Hepatitis C Virus (HCV): Testing, Product Disposition, and Donor</w:t>
      </w:r>
      <w:r>
        <w:rPr>
          <w:rFonts w:hint="eastAsia"/>
          <w:sz w:val="24"/>
          <w:szCs w:val="24"/>
          <w:lang w:val="en-US" w:eastAsia="zh-CN"/>
        </w:rPr>
        <w:t xml:space="preserve"> </w:t>
      </w:r>
      <w:r>
        <w:rPr>
          <w:rFonts w:hint="eastAsia"/>
          <w:sz w:val="24"/>
          <w:szCs w:val="24"/>
        </w:rPr>
        <w:t>Deferral and Reentry. Dec 2017：34-38.</w:t>
      </w:r>
    </w:p>
    <w:p w14:paraId="55B7ACEE">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sz w:val="24"/>
          <w:szCs w:val="24"/>
        </w:rPr>
      </w:pPr>
      <w:r>
        <w:rPr>
          <w:rFonts w:hint="eastAsia"/>
          <w:sz w:val="24"/>
          <w:szCs w:val="24"/>
        </w:rPr>
        <w:t>[3]</w:t>
      </w:r>
      <w:r>
        <w:rPr>
          <w:rFonts w:hint="eastAsia" w:hAnsi="宋体" w:cs="Arial"/>
          <w:color w:val="000000"/>
          <w:spacing w:val="-2"/>
          <w:sz w:val="24"/>
          <w:szCs w:val="24"/>
        </w:rPr>
        <w:t xml:space="preserve"> </w:t>
      </w:r>
      <w:r>
        <w:rPr>
          <w:sz w:val="24"/>
          <w:szCs w:val="24"/>
        </w:rPr>
        <w:t>JPAC</w:t>
      </w:r>
      <w:r>
        <w:rPr>
          <w:rFonts w:hint="eastAsia"/>
          <w:sz w:val="24"/>
          <w:szCs w:val="24"/>
        </w:rPr>
        <w:t>.Chapter 9: Microbiology tests for donors and donations: general specifications for laboratory test procedures.Guidelines for the Blood Transfusion and Tissue Transplantation Services in the UK.http://www.transfusionguidelines.org.Accessed 15 May 2023.</w:t>
      </w:r>
    </w:p>
    <w:p w14:paraId="04FDF4F3">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sz w:val="24"/>
          <w:szCs w:val="24"/>
        </w:rPr>
      </w:pPr>
      <w:r>
        <w:rPr>
          <w:rFonts w:hint="eastAsia"/>
          <w:sz w:val="24"/>
          <w:szCs w:val="24"/>
        </w:rPr>
        <w:t>[4] FDA Guidance for Industry .Recommendations for Screening, Testing, and Management of Blood Donors and Blood and Blood Components Based on Screening Tests for Syphilis. December  2020.</w:t>
      </w:r>
    </w:p>
    <w:p w14:paraId="2354EE7A">
      <w:pPr>
        <w:pStyle w:val="7"/>
        <w:keepNext w:val="0"/>
        <w:keepLines w:val="0"/>
        <w:pageBreakBefore w:val="0"/>
        <w:widowControl/>
        <w:kinsoku/>
        <w:wordWrap/>
        <w:overflowPunct/>
        <w:topLinePunct w:val="0"/>
        <w:autoSpaceDE w:val="0"/>
        <w:autoSpaceDN w:val="0"/>
        <w:bidi w:val="0"/>
        <w:adjustRightInd/>
        <w:snapToGrid/>
        <w:spacing w:line="399" w:lineRule="auto"/>
        <w:ind w:firstLine="420"/>
        <w:textAlignment w:val="auto"/>
        <w:rPr>
          <w:sz w:val="24"/>
          <w:szCs w:val="24"/>
        </w:rPr>
      </w:pPr>
      <w:r>
        <w:rPr>
          <w:rFonts w:hint="eastAsia"/>
          <w:sz w:val="24"/>
          <w:szCs w:val="24"/>
        </w:rPr>
        <w:t>[5] FDA Guidance for Industry. Requalification Method for Reentry of Blood Donors Deferred Because of Reactive Test Results for Antibody to Hepatitis B Core Antigen (Anti-HBc).May 2010.</w:t>
      </w:r>
    </w:p>
    <w:p w14:paraId="631C0139">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spacing w:val="-3"/>
        </w:rPr>
      </w:pPr>
      <w:r>
        <w:rPr>
          <w:rFonts w:hint="eastAsia"/>
          <w:sz w:val="24"/>
          <w:szCs w:val="24"/>
        </w:rPr>
        <w:t>[6] EDQM Guide to the preparation, use and quality assurance of blood components.18th Edition 2015:372</w:t>
      </w:r>
      <w:r>
        <w:rPr>
          <w:rFonts w:hint="eastAsia"/>
        </w:rPr>
        <w:t>.</w:t>
      </w:r>
      <w:r>
        <w:rPr>
          <w:rFonts w:ascii="仿宋" w:hAnsi="仿宋" w:eastAsia="仿宋" w:cs="仿宋"/>
          <w:snapToGrid w:val="0"/>
          <w:color w:val="000000"/>
          <w:spacing w:val="-1"/>
          <w:kern w:val="0"/>
          <w:sz w:val="28"/>
          <w:szCs w:val="28"/>
          <w:lang w:val="en-US" w:eastAsia="en-US" w:bidi="ar-SA"/>
        </w:rPr>
        <w:t>等标准。对于HBsAg、 Anti-HCV或HCV Ag-Ab反应性而核酸检测无反应性献血者，我们建议 结合2种不同ELISA以及核酸检测结果对献血者是否可归队作出判断。对于Anti-HIV1-2或HIV Ag-Ab1+2反应性而核酸检测无反应性献血者，采供血机构可委托当地疾病预防与控制中心开展确证试验和核酸 检测，并据此来确定献血者HIV病毒感染状态。对于Anti-TP反应性献 血者，采供血机构可开展确证试验，并据此确定献血者梅毒感染状</w:t>
      </w:r>
      <w:r>
        <w:rPr>
          <w:spacing w:val="-3"/>
          <w:lang w:val="en-US" w:eastAsia="en-US"/>
        </w:rPr>
        <w:t>态。</w:t>
      </w:r>
    </w:p>
    <w:p w14:paraId="642CC084">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spacing w:val="-3"/>
        </w:rPr>
      </w:pPr>
      <w:r>
        <w:rPr>
          <w:spacing w:val="-3"/>
        </w:rPr>
        <w:t>(五)   献血者归队流程</w:t>
      </w:r>
    </w:p>
    <w:p w14:paraId="6C8C38D8">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spacing w:val="-3"/>
        </w:rPr>
      </w:pPr>
      <w:r>
        <w:rPr>
          <w:spacing w:val="-3"/>
        </w:rPr>
        <w:t>本章共4条，分别对HBsAg、Anti-HCV或HCV Ag-Ab、Anti-HIV1+2 或HCV Ag-Ab1+2、Anti-TP反应性且核酸检测无反应性献血者提出了 屏蔽和归队流程。</w:t>
      </w:r>
    </w:p>
    <w:p w14:paraId="1C211815">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spacing w:val="-3"/>
        </w:rPr>
      </w:pPr>
      <w:r>
        <w:rPr>
          <w:spacing w:val="-3"/>
        </w:rPr>
        <w:t>每1条都以《全血及成分血质量要求》中要求的病毒标志物筛查 试验为基础，结合ELISA反应性、核酸检测无反应性检测结果的补充 试验。根据筛查试验和补充试验检测结果来判断献血者是否可进入归队流程，制定屏蔽规则及归队条件，提出献血者屏蔽后采集标本检测及归队建议。</w:t>
      </w:r>
    </w:p>
    <w:p w14:paraId="785BA965">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spacing w:val="-3"/>
        </w:rPr>
      </w:pPr>
      <w:r>
        <w:rPr>
          <w:spacing w:val="-3"/>
        </w:rPr>
        <w:t>献血者归队检测：血液初筛后进入归队的对象 → 归队检测的方法 → 归队检测的标志物；</w:t>
      </w:r>
    </w:p>
    <w:p w14:paraId="39A7EF8B">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rFonts w:hint="eastAsia" w:eastAsia="仿宋"/>
          <w:spacing w:val="-3"/>
          <w:lang w:eastAsia="zh-CN"/>
        </w:rPr>
      </w:pPr>
      <w:r>
        <w:rPr>
          <w:spacing w:val="-3"/>
        </w:rPr>
        <w:t>献血者归队的流程：申请 →审核 →标本采集 → 归队检测 → 审批</w:t>
      </w:r>
      <w:r>
        <w:rPr>
          <w:rFonts w:hint="eastAsia"/>
          <w:spacing w:val="-3"/>
          <w:lang w:eastAsia="zh-CN"/>
        </w:rPr>
        <w:t>；</w:t>
      </w:r>
    </w:p>
    <w:p w14:paraId="22051493">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414"/>
        <w:textAlignment w:val="baseline"/>
        <w:rPr>
          <w:spacing w:val="-3"/>
        </w:rPr>
      </w:pPr>
      <w:r>
        <w:rPr>
          <w:spacing w:val="-3"/>
        </w:rPr>
        <w:t>献血者归队流程和判定规则：初筛检测 →初筛的永久屏蔽规则 →初筛后进入第一轮归队流程的条件 →第一轮归队检测永久屏蔽规则 →第一轮归队检测后，献血者可以解除屏蔽条件 →第一轮归队检测后，进入第二轮归队流程条件 →第二轮归队永久屏蔽规则 →第二轮归队检测后，献血者可以解除屏蔽条件 →解除屏蔽后献血间隔期后再次献血。</w:t>
      </w:r>
    </w:p>
    <w:p w14:paraId="1C23C76A">
      <w:pPr>
        <w:keepNext w:val="0"/>
        <w:keepLines w:val="0"/>
        <w:pageBreakBefore w:val="0"/>
        <w:widowControl/>
        <w:kinsoku w:val="0"/>
        <w:wordWrap/>
        <w:overflowPunct/>
        <w:topLinePunct w:val="0"/>
        <w:autoSpaceDE w:val="0"/>
        <w:autoSpaceDN w:val="0"/>
        <w:bidi w:val="0"/>
        <w:adjustRightInd w:val="0"/>
        <w:snapToGrid w:val="0"/>
        <w:spacing w:before="45" w:line="399" w:lineRule="auto"/>
        <w:ind w:left="32"/>
        <w:textAlignment w:val="baseline"/>
        <w:outlineLvl w:val="1"/>
        <w:rPr>
          <w:rFonts w:ascii="黑体" w:hAnsi="黑体" w:eastAsia="黑体" w:cs="黑体"/>
          <w:b/>
          <w:bCs/>
          <w:spacing w:val="-4"/>
          <w:sz w:val="28"/>
          <w:szCs w:val="28"/>
        </w:rPr>
      </w:pPr>
      <w:r>
        <w:rPr>
          <w:rFonts w:ascii="黑体" w:hAnsi="黑体" w:eastAsia="黑体" w:cs="黑体"/>
          <w:b/>
          <w:bCs/>
          <w:spacing w:val="-4"/>
          <w:sz w:val="28"/>
          <w:szCs w:val="28"/>
        </w:rPr>
        <w:t>七：</w:t>
      </w:r>
      <w:r>
        <w:rPr>
          <w:rFonts w:hint="eastAsia" w:ascii="黑体" w:hAnsi="黑体" w:eastAsia="黑体" w:cs="黑体"/>
          <w:b/>
          <w:bCs/>
          <w:spacing w:val="-4"/>
          <w:sz w:val="28"/>
          <w:szCs w:val="28"/>
          <w:lang w:val="en-US" w:eastAsia="zh-CN"/>
        </w:rPr>
        <w:t>复审</w:t>
      </w:r>
      <w:r>
        <w:rPr>
          <w:rFonts w:ascii="黑体" w:hAnsi="黑体" w:eastAsia="黑体" w:cs="黑体"/>
          <w:b/>
          <w:bCs/>
          <w:spacing w:val="-4"/>
          <w:sz w:val="28"/>
          <w:szCs w:val="28"/>
        </w:rPr>
        <w:t>意见和采纳情况：</w:t>
      </w:r>
    </w:p>
    <w:p w14:paraId="0DA71E58">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right="91" w:firstLine="548" w:firstLineChars="200"/>
        <w:textAlignment w:val="baseline"/>
        <w:rPr>
          <w:rFonts w:hint="eastAsia"/>
          <w:spacing w:val="-3"/>
          <w:lang w:eastAsia="zh-CN"/>
        </w:rPr>
      </w:pPr>
      <w:r>
        <w:rPr>
          <w:rFonts w:hint="eastAsia"/>
          <w:spacing w:val="-3"/>
          <w:lang w:val="en-US" w:eastAsia="zh-CN"/>
        </w:rPr>
        <w:t>2023</w:t>
      </w:r>
      <w:r>
        <w:rPr>
          <w:spacing w:val="-3"/>
        </w:rPr>
        <w:t>年</w:t>
      </w:r>
      <w:r>
        <w:rPr>
          <w:rFonts w:hint="eastAsia"/>
          <w:spacing w:val="-3"/>
          <w:lang w:val="en-US" w:eastAsia="zh-CN"/>
        </w:rPr>
        <w:t>12</w:t>
      </w:r>
      <w:r>
        <w:rPr>
          <w:spacing w:val="-3"/>
        </w:rPr>
        <w:t>月底</w:t>
      </w:r>
      <w:r>
        <w:rPr>
          <w:rFonts w:hint="eastAsia"/>
          <w:spacing w:val="-3"/>
          <w:lang w:val="en-US" w:eastAsia="zh-CN"/>
        </w:rPr>
        <w:t>中国输血协会输血传播</w:t>
      </w:r>
      <w:r>
        <w:rPr>
          <w:rFonts w:hint="default"/>
          <w:spacing w:val="-3"/>
          <w:lang w:val="en-US" w:eastAsia="zh-CN"/>
        </w:rPr>
        <w:t>疾病专业委员</w:t>
      </w:r>
      <w:r>
        <w:rPr>
          <w:rFonts w:hint="eastAsia"/>
          <w:spacing w:val="-3"/>
          <w:lang w:val="en-US" w:eastAsia="zh-CN"/>
        </w:rPr>
        <w:t>组织专家对标准进行了复审，共收到专家建议27条，</w:t>
      </w:r>
      <w:r>
        <w:rPr>
          <w:spacing w:val="-3"/>
        </w:rPr>
        <w:t>采纳</w:t>
      </w:r>
      <w:r>
        <w:rPr>
          <w:rFonts w:hint="eastAsia"/>
          <w:spacing w:val="-3"/>
          <w:lang w:val="en-US" w:eastAsia="zh-CN"/>
        </w:rPr>
        <w:t>18</w:t>
      </w:r>
      <w:r>
        <w:rPr>
          <w:spacing w:val="-3"/>
        </w:rPr>
        <w:t>条</w:t>
      </w:r>
      <w:r>
        <w:rPr>
          <w:rFonts w:hint="eastAsia"/>
          <w:spacing w:val="-3"/>
          <w:lang w:eastAsia="zh-CN"/>
        </w:rPr>
        <w:t>，</w:t>
      </w:r>
      <w:r>
        <w:rPr>
          <w:spacing w:val="-3"/>
        </w:rPr>
        <w:t>部分采纳</w:t>
      </w:r>
      <w:r>
        <w:rPr>
          <w:rFonts w:hint="eastAsia"/>
          <w:spacing w:val="-3"/>
          <w:lang w:val="en-US" w:eastAsia="zh-CN"/>
        </w:rPr>
        <w:t>1</w:t>
      </w:r>
      <w:r>
        <w:rPr>
          <w:spacing w:val="-3"/>
        </w:rPr>
        <w:t>条，没有采纳</w:t>
      </w:r>
      <w:r>
        <w:rPr>
          <w:rFonts w:hint="eastAsia"/>
          <w:spacing w:val="-3"/>
          <w:lang w:val="en-US" w:eastAsia="zh-CN"/>
        </w:rPr>
        <w:t>8</w:t>
      </w:r>
      <w:r>
        <w:rPr>
          <w:spacing w:val="-3"/>
        </w:rPr>
        <w:t>条，没有采纳的理由详见“</w:t>
      </w:r>
      <w:r>
        <w:rPr>
          <w:rFonts w:hint="eastAsia"/>
          <w:spacing w:val="-3"/>
          <w:lang w:val="en-US" w:eastAsia="zh-CN"/>
        </w:rPr>
        <w:t>复审专家</w:t>
      </w:r>
      <w:bookmarkStart w:id="0" w:name="_GoBack"/>
      <w:bookmarkEnd w:id="0"/>
      <w:r>
        <w:rPr>
          <w:spacing w:val="-3"/>
        </w:rPr>
        <w:t>意见汇总处理表”</w:t>
      </w:r>
      <w:r>
        <w:rPr>
          <w:rFonts w:hint="eastAsia"/>
          <w:spacing w:val="-3"/>
          <w:lang w:eastAsia="zh-CN"/>
        </w:rPr>
        <w:t>，</w:t>
      </w:r>
      <w:r>
        <w:rPr>
          <w:spacing w:val="-3"/>
        </w:rPr>
        <w:t>完成了标准的征求意见稿</w:t>
      </w:r>
      <w:r>
        <w:rPr>
          <w:rFonts w:hint="eastAsia"/>
          <w:spacing w:val="-3"/>
          <w:lang w:eastAsia="zh-CN"/>
        </w:rPr>
        <w:t>。</w:t>
      </w:r>
    </w:p>
    <w:p w14:paraId="56856E49">
      <w:pPr>
        <w:pStyle w:val="2"/>
        <w:keepNext w:val="0"/>
        <w:keepLines w:val="0"/>
        <w:pageBreakBefore w:val="0"/>
        <w:widowControl/>
        <w:kinsoku w:val="0"/>
        <w:wordWrap/>
        <w:overflowPunct/>
        <w:topLinePunct w:val="0"/>
        <w:autoSpaceDE w:val="0"/>
        <w:autoSpaceDN w:val="0"/>
        <w:bidi w:val="0"/>
        <w:adjustRightInd w:val="0"/>
        <w:snapToGrid w:val="0"/>
        <w:spacing w:before="2" w:line="399" w:lineRule="auto"/>
        <w:ind w:left="28" w:right="91" w:firstLine="1948" w:firstLineChars="696"/>
        <w:textAlignment w:val="baseline"/>
      </w:pPr>
      <w:r>
        <w:t>《反应性献血者屏蔽与归队指南》</w:t>
      </w:r>
      <w:r>
        <w:rPr>
          <w:rFonts w:hint="eastAsia"/>
          <w:lang w:val="en-US" w:eastAsia="zh-CN"/>
        </w:rPr>
        <w:t>修订编制</w:t>
      </w:r>
      <w:r>
        <w:t>小组</w:t>
      </w:r>
    </w:p>
    <w:p w14:paraId="4B81173E">
      <w:pPr>
        <w:pStyle w:val="2"/>
        <w:spacing w:before="91" w:line="397" w:lineRule="auto"/>
        <w:ind w:right="295" w:firstLine="4480" w:firstLineChars="1600"/>
        <w:rPr>
          <w:rFonts w:hint="eastAsia"/>
          <w:lang w:val="en-US" w:eastAsia="zh-CN"/>
        </w:rPr>
      </w:pPr>
      <w:r>
        <w:rPr>
          <w:rFonts w:hint="eastAsia"/>
          <w:lang w:val="en-US" w:eastAsia="zh-CN"/>
        </w:rPr>
        <w:t>二〇二四年十一月三日</w:t>
      </w:r>
    </w:p>
    <w:sectPr>
      <w:footerReference r:id="rId5" w:type="default"/>
      <w:pgSz w:w="11907" w:h="16839"/>
      <w:pgMar w:top="1431" w:right="1720" w:bottom="1153" w:left="1785" w:header="0" w:footer="99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DB016">
    <w:pPr>
      <w:spacing w:line="174" w:lineRule="auto"/>
      <w:ind w:left="8238"/>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937F90"/>
    <w:multiLevelType w:val="singleLevel"/>
    <w:tmpl w:val="E9937F90"/>
    <w:lvl w:ilvl="0" w:tentative="0">
      <w:start w:val="3"/>
      <w:numFmt w:val="chineseCounting"/>
      <w:suff w:val="space"/>
      <w:lvlText w:val="(%1)"/>
      <w:lvlJc w:val="left"/>
      <w:rPr>
        <w:rFonts w:hint="eastAsia"/>
      </w:rPr>
    </w:lvl>
  </w:abstractNum>
  <w:abstractNum w:abstractNumId="1">
    <w:nsid w:val="22531F87"/>
    <w:multiLevelType w:val="singleLevel"/>
    <w:tmpl w:val="22531F87"/>
    <w:lvl w:ilvl="0" w:tentative="0">
      <w:start w:val="3"/>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E1ZGZkZDQ3MDU3NWViYWNjNDlhNzliODQ3YmJmZjIifQ=="/>
  </w:docVars>
  <w:rsids>
    <w:rsidRoot w:val="00000000"/>
    <w:rsid w:val="2382150D"/>
    <w:rsid w:val="2ED97FCD"/>
    <w:rsid w:val="32E57268"/>
    <w:rsid w:val="42B13AE9"/>
    <w:rsid w:val="4576238F"/>
    <w:rsid w:val="5F3308C5"/>
    <w:rsid w:val="7B6A45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1"/>
      <w:szCs w:val="21"/>
      <w:lang w:val="en-US" w:eastAsia="en-US" w:bidi="ar-SA"/>
    </w:rPr>
  </w:style>
  <w:style w:type="paragraph" w:customStyle="1" w:styleId="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4183</Words>
  <Characters>6312</Characters>
  <TotalTime>33</TotalTime>
  <ScaleCrop>false</ScaleCrop>
  <LinksUpToDate>false</LinksUpToDate>
  <CharactersWithSpaces>6766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2018-12-07T15:51:00Z</dcterms:created>
  <dc:creator>Administrator</dc:creator>
  <cp:lastModifiedBy>周国平</cp:lastModifiedBy>
  <dcterms:modified xsi:type="dcterms:W3CDTF">2024-11-03T13:16:41Z</dcterms:modified>
  <dc:title>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2024-11-01T17:52:52Z</vt:filetime>
  </property>
  <property fmtid="{D5CDD505-2E9C-101B-9397-08002B2CF9AE}" pid="4" name="KSOProductBuildVer">
    <vt:lpwstr>2052-12.1.0.18608</vt:lpwstr>
  </property>
  <property fmtid="{D5CDD505-2E9C-101B-9397-08002B2CF9AE}" pid="5" name="ICV">
    <vt:lpwstr>04702208F03C4C46BB90C2693F3B40F4_12</vt:lpwstr>
  </property>
</Properties>
</file>