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415F3">
      <w:pPr>
        <w:spacing w:line="360" w:lineRule="auto"/>
        <w:jc w:val="center"/>
        <w:rPr>
          <w:rFonts w:ascii="长城小标宋体" w:hAnsi="仿宋" w:eastAsia="长城小标宋体" w:cs="长城小标宋体"/>
          <w:bCs/>
          <w:sz w:val="44"/>
          <w:szCs w:val="44"/>
        </w:rPr>
      </w:pPr>
      <w:r>
        <w:rPr>
          <w:rFonts w:hint="eastAsia" w:ascii="长城小标宋体" w:hAnsi="仿宋" w:eastAsia="长城小标宋体" w:cs="长城小标宋体"/>
          <w:bCs/>
          <w:sz w:val="44"/>
          <w:szCs w:val="44"/>
        </w:rPr>
        <w:t>《红细胞血型基因分型技术指南》</w:t>
      </w:r>
    </w:p>
    <w:p w14:paraId="42198377">
      <w:pPr>
        <w:spacing w:line="360" w:lineRule="auto"/>
        <w:jc w:val="center"/>
        <w:rPr>
          <w:rFonts w:ascii="黑体" w:hAnsi="宋体" w:eastAsia="黑体" w:cs="Courier New"/>
          <w:sz w:val="28"/>
          <w:szCs w:val="32"/>
        </w:rPr>
      </w:pPr>
      <w:r>
        <w:rPr>
          <w:rFonts w:hint="eastAsia" w:ascii="长城小标宋体" w:hAnsi="仿宋" w:eastAsia="长城小标宋体" w:cs="长城小标宋体"/>
          <w:bCs/>
          <w:sz w:val="44"/>
          <w:szCs w:val="44"/>
        </w:rPr>
        <w:t>编制说明</w:t>
      </w:r>
    </w:p>
    <w:p w14:paraId="00DD41A7">
      <w:pPr>
        <w:spacing w:line="360" w:lineRule="auto"/>
        <w:rPr>
          <w:rFonts w:ascii="黑体" w:hAnsi="宋体" w:eastAsia="黑体" w:cs="Courier New"/>
          <w:sz w:val="28"/>
          <w:szCs w:val="32"/>
        </w:rPr>
      </w:pPr>
    </w:p>
    <w:p w14:paraId="2BEB51D2">
      <w:pPr>
        <w:numPr>
          <w:ilvl w:val="0"/>
          <w:numId w:val="1"/>
        </w:numPr>
        <w:spacing w:line="360" w:lineRule="auto"/>
        <w:rPr>
          <w:rFonts w:ascii="黑体" w:hAnsi="宋体" w:eastAsia="黑体"/>
          <w:sz w:val="28"/>
          <w:szCs w:val="28"/>
        </w:rPr>
      </w:pPr>
      <w:r>
        <w:rPr>
          <w:rFonts w:hint="eastAsia" w:ascii="黑体" w:hAnsi="宋体" w:eastAsia="黑体"/>
          <w:sz w:val="28"/>
          <w:szCs w:val="28"/>
        </w:rPr>
        <w:t>任务来源与项目编号、各起草单位和起草人承担的工作、起草过程等</w:t>
      </w:r>
    </w:p>
    <w:p w14:paraId="536E3FD9">
      <w:pPr>
        <w:spacing w:line="360" w:lineRule="auto"/>
        <w:ind w:firstLine="560" w:firstLineChars="200"/>
        <w:rPr>
          <w:rFonts w:ascii="宋体" w:hAnsi="宋体" w:cs="Courier New"/>
          <w:sz w:val="28"/>
          <w:szCs w:val="28"/>
        </w:rPr>
      </w:pPr>
      <w:r>
        <w:rPr>
          <w:rFonts w:hint="eastAsia" w:ascii="宋体" w:hAnsi="宋体" w:cs="Courier New"/>
          <w:sz w:val="28"/>
          <w:szCs w:val="28"/>
        </w:rPr>
        <w:t>团体标准《红细胞血型基因分型技术指南》（</w:t>
      </w:r>
      <w:r>
        <w:rPr>
          <w:rFonts w:ascii="宋体" w:hAnsi="宋体" w:cs="Courier New"/>
          <w:sz w:val="28"/>
          <w:szCs w:val="28"/>
        </w:rPr>
        <w:t>T/CSBT 009—2021</w:t>
      </w:r>
      <w:r>
        <w:rPr>
          <w:rFonts w:hint="eastAsia" w:ascii="宋体" w:hAnsi="宋体" w:cs="Courier New"/>
          <w:sz w:val="28"/>
          <w:szCs w:val="28"/>
        </w:rPr>
        <w:t>）</w:t>
      </w:r>
      <w:r>
        <w:rPr>
          <w:rFonts w:hint="eastAsia" w:ascii="宋体" w:hAnsi="宋体" w:cs="Courier New"/>
          <w:sz w:val="28"/>
          <w:szCs w:val="28"/>
          <w:lang w:val="en-US" w:eastAsia="zh-CN"/>
        </w:rPr>
        <w:t>最初</w:t>
      </w:r>
      <w:r>
        <w:rPr>
          <w:rFonts w:hint="eastAsia" w:ascii="宋体" w:hAnsi="宋体" w:cs="Courier New"/>
          <w:sz w:val="28"/>
          <w:szCs w:val="28"/>
        </w:rPr>
        <w:t>于201</w:t>
      </w:r>
      <w:r>
        <w:rPr>
          <w:rFonts w:ascii="宋体" w:hAnsi="宋体" w:cs="Courier New"/>
          <w:sz w:val="28"/>
          <w:szCs w:val="28"/>
        </w:rPr>
        <w:t>9</w:t>
      </w:r>
      <w:r>
        <w:rPr>
          <w:rFonts w:hint="eastAsia" w:ascii="宋体" w:hAnsi="宋体" w:cs="Courier New"/>
          <w:sz w:val="28"/>
          <w:szCs w:val="28"/>
        </w:rPr>
        <w:t>年</w:t>
      </w:r>
      <w:r>
        <w:rPr>
          <w:rFonts w:ascii="宋体" w:hAnsi="宋体" w:cs="Courier New"/>
          <w:sz w:val="28"/>
          <w:szCs w:val="28"/>
        </w:rPr>
        <w:t>8</w:t>
      </w:r>
      <w:r>
        <w:rPr>
          <w:rFonts w:hint="eastAsia" w:ascii="宋体" w:hAnsi="宋体" w:cs="Courier New"/>
          <w:sz w:val="28"/>
          <w:szCs w:val="28"/>
        </w:rPr>
        <w:t>月</w:t>
      </w:r>
      <w:r>
        <w:rPr>
          <w:rFonts w:ascii="宋体" w:hAnsi="宋体" w:cs="Courier New"/>
          <w:sz w:val="28"/>
          <w:szCs w:val="28"/>
        </w:rPr>
        <w:t>15</w:t>
      </w:r>
      <w:r>
        <w:rPr>
          <w:rFonts w:hint="eastAsia" w:ascii="宋体" w:hAnsi="宋体" w:cs="Courier New"/>
          <w:sz w:val="28"/>
          <w:szCs w:val="28"/>
        </w:rPr>
        <w:t>日经中国输血协会血液质量专业委员会批准立项，由浙江省血液中心等7家单位撰写，并于20</w:t>
      </w:r>
      <w:r>
        <w:rPr>
          <w:rFonts w:ascii="宋体" w:hAnsi="宋体" w:cs="Courier New"/>
          <w:sz w:val="28"/>
          <w:szCs w:val="28"/>
        </w:rPr>
        <w:t>21</w:t>
      </w:r>
      <w:r>
        <w:rPr>
          <w:rFonts w:hint="eastAsia" w:ascii="宋体" w:hAnsi="宋体" w:cs="Courier New"/>
          <w:sz w:val="28"/>
          <w:szCs w:val="28"/>
        </w:rPr>
        <w:t>年</w:t>
      </w:r>
      <w:r>
        <w:rPr>
          <w:rFonts w:ascii="宋体" w:hAnsi="宋体" w:cs="Courier New"/>
          <w:sz w:val="28"/>
          <w:szCs w:val="28"/>
        </w:rPr>
        <w:t>11</w:t>
      </w:r>
      <w:r>
        <w:rPr>
          <w:rFonts w:hint="eastAsia" w:ascii="宋体" w:hAnsi="宋体" w:cs="Courier New"/>
          <w:sz w:val="28"/>
          <w:szCs w:val="28"/>
        </w:rPr>
        <w:t>月</w:t>
      </w:r>
      <w:r>
        <w:rPr>
          <w:rFonts w:ascii="宋体" w:hAnsi="宋体" w:cs="Courier New"/>
          <w:sz w:val="28"/>
          <w:szCs w:val="28"/>
        </w:rPr>
        <w:t>10</w:t>
      </w:r>
      <w:r>
        <w:rPr>
          <w:rFonts w:hint="eastAsia" w:ascii="宋体" w:hAnsi="宋体" w:cs="Courier New"/>
          <w:sz w:val="28"/>
          <w:szCs w:val="28"/>
        </w:rPr>
        <w:t>日由中国输血协会正式发布和实施。根据《中国输血协会团体标准管理办法（</w:t>
      </w:r>
      <w:r>
        <w:rPr>
          <w:rFonts w:ascii="宋体" w:hAnsi="宋体" w:cs="Courier New"/>
          <w:sz w:val="28"/>
          <w:szCs w:val="28"/>
        </w:rPr>
        <w:t>2024</w:t>
      </w:r>
      <w:r>
        <w:rPr>
          <w:rFonts w:hint="eastAsia" w:ascii="宋体" w:hAnsi="宋体" w:cs="Courier New"/>
          <w:sz w:val="28"/>
          <w:szCs w:val="28"/>
        </w:rPr>
        <w:t>）》规定，202</w:t>
      </w:r>
      <w:r>
        <w:rPr>
          <w:rFonts w:ascii="宋体" w:hAnsi="宋体" w:cs="Courier New"/>
          <w:sz w:val="28"/>
          <w:szCs w:val="28"/>
        </w:rPr>
        <w:t>5</w:t>
      </w:r>
      <w:r>
        <w:rPr>
          <w:rFonts w:hint="eastAsia" w:ascii="宋体" w:hAnsi="宋体" w:cs="Courier New"/>
          <w:sz w:val="28"/>
          <w:szCs w:val="28"/>
        </w:rPr>
        <w:t>年</w:t>
      </w:r>
      <w:r>
        <w:rPr>
          <w:rFonts w:ascii="宋体" w:hAnsi="宋体" w:cs="Courier New"/>
          <w:sz w:val="28"/>
          <w:szCs w:val="28"/>
        </w:rPr>
        <w:t>3</w:t>
      </w:r>
      <w:r>
        <w:rPr>
          <w:rFonts w:hint="eastAsia" w:ascii="宋体" w:hAnsi="宋体" w:cs="Courier New"/>
          <w:sz w:val="28"/>
          <w:szCs w:val="28"/>
        </w:rPr>
        <w:t>月，中国输血协会血液质量专业委员会组织专家对实施3年的该标准进行了复审，复审结论为修订，并提出了若干修改建议。浙江省血液中心、上海市血液中心、广州血液中心、北京医院、深圳市第二人民医院、辽宁省血液中心和空军军医大学第二附属医院，共计</w:t>
      </w:r>
      <w:r>
        <w:rPr>
          <w:rFonts w:ascii="宋体" w:hAnsi="宋体" w:cs="Courier New"/>
          <w:sz w:val="28"/>
          <w:szCs w:val="28"/>
        </w:rPr>
        <w:t>7</w:t>
      </w:r>
      <w:r>
        <w:rPr>
          <w:rFonts w:hint="eastAsia" w:ascii="宋体" w:hAnsi="宋体" w:cs="Courier New"/>
          <w:sz w:val="28"/>
          <w:szCs w:val="28"/>
        </w:rPr>
        <w:t>家单位承担了该标准的修订工作。主要参与人员及其承担的工作如下：</w:t>
      </w:r>
      <w:r>
        <w:rPr>
          <w:rFonts w:ascii="宋体" w:hAnsi="宋体" w:cs="Courier New"/>
          <w:sz w:val="28"/>
          <w:szCs w:val="28"/>
        </w:rPr>
        <w:t xml:space="preserve"> </w:t>
      </w:r>
    </w:p>
    <w:tbl>
      <w:tblPr>
        <w:tblStyle w:val="4"/>
        <w:tblpPr w:leftFromText="180" w:rightFromText="180" w:vertAnchor="text" w:horzAnchor="page" w:tblpXSpec="center" w:tblpY="395"/>
        <w:tblOverlap w:val="never"/>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240"/>
        <w:gridCol w:w="1240"/>
        <w:gridCol w:w="1240"/>
        <w:gridCol w:w="1981"/>
        <w:gridCol w:w="2410"/>
      </w:tblGrid>
      <w:tr w14:paraId="5A2C6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240" w:type="dxa"/>
            <w:vAlign w:val="center"/>
          </w:tcPr>
          <w:p w14:paraId="2337C4AE">
            <w:pPr>
              <w:jc w:val="center"/>
              <w:rPr>
                <w:rFonts w:ascii="宋体" w:hAnsi="宋体"/>
                <w:b/>
                <w:sz w:val="24"/>
              </w:rPr>
            </w:pPr>
            <w:r>
              <w:rPr>
                <w:rFonts w:hint="eastAsia" w:ascii="宋体" w:hAnsi="宋体"/>
                <w:b/>
                <w:sz w:val="24"/>
              </w:rPr>
              <w:t>姓名</w:t>
            </w:r>
          </w:p>
        </w:tc>
        <w:tc>
          <w:tcPr>
            <w:tcW w:w="1240" w:type="dxa"/>
            <w:vAlign w:val="center"/>
          </w:tcPr>
          <w:p w14:paraId="3898DA73">
            <w:pPr>
              <w:jc w:val="center"/>
              <w:rPr>
                <w:rFonts w:ascii="宋体" w:hAnsi="宋体"/>
                <w:b/>
                <w:sz w:val="24"/>
              </w:rPr>
            </w:pPr>
            <w:r>
              <w:rPr>
                <w:rFonts w:hint="eastAsia" w:ascii="宋体" w:hAnsi="宋体"/>
                <w:b/>
                <w:sz w:val="24"/>
              </w:rPr>
              <w:t>职称</w:t>
            </w:r>
          </w:p>
        </w:tc>
        <w:tc>
          <w:tcPr>
            <w:tcW w:w="1240" w:type="dxa"/>
            <w:vAlign w:val="center"/>
          </w:tcPr>
          <w:p w14:paraId="6237F3DD">
            <w:pPr>
              <w:jc w:val="center"/>
              <w:rPr>
                <w:rFonts w:ascii="宋体" w:hAnsi="宋体"/>
                <w:b/>
                <w:sz w:val="24"/>
              </w:rPr>
            </w:pPr>
            <w:r>
              <w:rPr>
                <w:rFonts w:hint="eastAsia" w:ascii="宋体" w:hAnsi="宋体"/>
                <w:b/>
                <w:sz w:val="24"/>
              </w:rPr>
              <w:t>职务</w:t>
            </w:r>
          </w:p>
        </w:tc>
        <w:tc>
          <w:tcPr>
            <w:tcW w:w="1240" w:type="dxa"/>
            <w:vAlign w:val="center"/>
          </w:tcPr>
          <w:p w14:paraId="26E15425">
            <w:pPr>
              <w:jc w:val="center"/>
              <w:rPr>
                <w:rFonts w:ascii="宋体" w:hAnsi="宋体"/>
                <w:b/>
                <w:sz w:val="24"/>
              </w:rPr>
            </w:pPr>
            <w:r>
              <w:rPr>
                <w:rFonts w:hint="eastAsia" w:ascii="宋体" w:hAnsi="宋体"/>
                <w:b/>
                <w:sz w:val="24"/>
              </w:rPr>
              <w:t>专业</w:t>
            </w:r>
          </w:p>
        </w:tc>
        <w:tc>
          <w:tcPr>
            <w:tcW w:w="1981" w:type="dxa"/>
            <w:vAlign w:val="center"/>
          </w:tcPr>
          <w:p w14:paraId="06E1717D">
            <w:pPr>
              <w:jc w:val="center"/>
              <w:rPr>
                <w:rFonts w:ascii="宋体" w:hAnsi="宋体"/>
                <w:b/>
                <w:sz w:val="24"/>
              </w:rPr>
            </w:pPr>
            <w:r>
              <w:rPr>
                <w:rFonts w:hint="eastAsia" w:ascii="宋体" w:hAnsi="宋体"/>
                <w:b/>
                <w:sz w:val="24"/>
              </w:rPr>
              <w:t>单位</w:t>
            </w:r>
          </w:p>
        </w:tc>
        <w:tc>
          <w:tcPr>
            <w:tcW w:w="2410" w:type="dxa"/>
            <w:noWrap/>
            <w:vAlign w:val="center"/>
          </w:tcPr>
          <w:p w14:paraId="1C7424A4">
            <w:pPr>
              <w:jc w:val="center"/>
              <w:rPr>
                <w:rFonts w:ascii="宋体" w:hAnsi="宋体"/>
                <w:b/>
                <w:sz w:val="24"/>
              </w:rPr>
            </w:pPr>
            <w:r>
              <w:rPr>
                <w:rFonts w:hint="eastAsia" w:ascii="宋体" w:hAnsi="宋体"/>
                <w:b/>
                <w:sz w:val="24"/>
              </w:rPr>
              <w:t>任务分工</w:t>
            </w:r>
          </w:p>
        </w:tc>
      </w:tr>
      <w:tr w14:paraId="5E499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7808292A">
            <w:pPr>
              <w:jc w:val="center"/>
              <w:rPr>
                <w:rFonts w:ascii="宋体" w:hAnsi="宋体"/>
                <w:bCs/>
                <w:sz w:val="24"/>
              </w:rPr>
            </w:pPr>
            <w:r>
              <w:rPr>
                <w:rFonts w:hint="eastAsia" w:ascii="宋体" w:hAnsi="宋体"/>
                <w:bCs/>
                <w:sz w:val="24"/>
              </w:rPr>
              <w:t>朱发明</w:t>
            </w:r>
          </w:p>
        </w:tc>
        <w:tc>
          <w:tcPr>
            <w:tcW w:w="1240" w:type="dxa"/>
            <w:vAlign w:val="center"/>
          </w:tcPr>
          <w:p w14:paraId="7547F6A0">
            <w:pPr>
              <w:jc w:val="center"/>
              <w:rPr>
                <w:rFonts w:ascii="宋体" w:hAnsi="宋体"/>
                <w:bCs/>
                <w:sz w:val="24"/>
              </w:rPr>
            </w:pPr>
            <w:r>
              <w:rPr>
                <w:rFonts w:hint="eastAsia" w:ascii="宋体" w:hAnsi="宋体"/>
                <w:bCs/>
                <w:sz w:val="24"/>
              </w:rPr>
              <w:t>主任技师</w:t>
            </w:r>
          </w:p>
        </w:tc>
        <w:tc>
          <w:tcPr>
            <w:tcW w:w="1240" w:type="dxa"/>
            <w:vAlign w:val="center"/>
          </w:tcPr>
          <w:p w14:paraId="588887AD">
            <w:pPr>
              <w:jc w:val="center"/>
              <w:rPr>
                <w:rFonts w:ascii="宋体" w:hAnsi="宋体"/>
                <w:bCs/>
                <w:sz w:val="24"/>
              </w:rPr>
            </w:pPr>
            <w:r>
              <w:rPr>
                <w:rFonts w:hint="eastAsia" w:ascii="宋体" w:hAnsi="宋体"/>
                <w:bCs/>
                <w:sz w:val="24"/>
              </w:rPr>
              <w:t>中心副主任</w:t>
            </w:r>
          </w:p>
        </w:tc>
        <w:tc>
          <w:tcPr>
            <w:tcW w:w="1240" w:type="dxa"/>
            <w:vAlign w:val="center"/>
          </w:tcPr>
          <w:p w14:paraId="32CB4D0C">
            <w:pPr>
              <w:jc w:val="center"/>
              <w:rPr>
                <w:rFonts w:ascii="宋体" w:hAnsi="宋体"/>
                <w:bCs/>
                <w:sz w:val="24"/>
              </w:rPr>
            </w:pPr>
            <w:r>
              <w:rPr>
                <w:rFonts w:hint="eastAsia" w:ascii="宋体" w:hAnsi="宋体"/>
                <w:bCs/>
                <w:sz w:val="24"/>
              </w:rPr>
              <w:t>输血医学</w:t>
            </w:r>
          </w:p>
        </w:tc>
        <w:tc>
          <w:tcPr>
            <w:tcW w:w="1981" w:type="dxa"/>
            <w:vAlign w:val="center"/>
          </w:tcPr>
          <w:p w14:paraId="476F4EA4">
            <w:pPr>
              <w:jc w:val="center"/>
              <w:rPr>
                <w:rFonts w:ascii="宋体" w:hAnsi="宋体"/>
                <w:bCs/>
                <w:sz w:val="24"/>
              </w:rPr>
            </w:pPr>
            <w:r>
              <w:rPr>
                <w:rFonts w:hint="eastAsia" w:ascii="宋体" w:hAnsi="宋体"/>
                <w:bCs/>
                <w:sz w:val="24"/>
              </w:rPr>
              <w:t>浙江省血液中心</w:t>
            </w:r>
          </w:p>
        </w:tc>
        <w:tc>
          <w:tcPr>
            <w:tcW w:w="2410" w:type="dxa"/>
            <w:noWrap/>
            <w:vAlign w:val="center"/>
          </w:tcPr>
          <w:p w14:paraId="5C3E9770">
            <w:pPr>
              <w:jc w:val="left"/>
              <w:rPr>
                <w:rFonts w:ascii="宋体" w:hAnsi="宋体"/>
                <w:bCs/>
                <w:sz w:val="24"/>
              </w:rPr>
            </w:pPr>
            <w:r>
              <w:rPr>
                <w:rFonts w:hint="eastAsia" w:ascii="宋体" w:hAnsi="宋体"/>
                <w:bCs/>
                <w:sz w:val="24"/>
              </w:rPr>
              <w:t xml:space="preserve">标准的策划、审阅 </w:t>
            </w:r>
          </w:p>
        </w:tc>
      </w:tr>
      <w:tr w14:paraId="09080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72273EBB">
            <w:pPr>
              <w:jc w:val="center"/>
              <w:rPr>
                <w:rFonts w:ascii="宋体" w:hAnsi="宋体"/>
                <w:bCs/>
                <w:sz w:val="24"/>
              </w:rPr>
            </w:pPr>
            <w:r>
              <w:rPr>
                <w:rFonts w:hint="eastAsia" w:ascii="宋体" w:hAnsi="宋体"/>
                <w:bCs/>
                <w:sz w:val="24"/>
              </w:rPr>
              <w:t>朱自严</w:t>
            </w:r>
          </w:p>
        </w:tc>
        <w:tc>
          <w:tcPr>
            <w:tcW w:w="1240" w:type="dxa"/>
            <w:vAlign w:val="center"/>
          </w:tcPr>
          <w:p w14:paraId="3BEE37C1">
            <w:pPr>
              <w:jc w:val="center"/>
              <w:rPr>
                <w:rFonts w:ascii="宋体" w:hAnsi="宋体"/>
                <w:bCs/>
                <w:sz w:val="24"/>
              </w:rPr>
            </w:pPr>
            <w:r>
              <w:rPr>
                <w:rFonts w:hint="eastAsia" w:ascii="宋体" w:hAnsi="宋体"/>
                <w:bCs/>
                <w:sz w:val="24"/>
              </w:rPr>
              <w:t>研究员</w:t>
            </w:r>
          </w:p>
        </w:tc>
        <w:tc>
          <w:tcPr>
            <w:tcW w:w="1240" w:type="dxa"/>
            <w:vAlign w:val="center"/>
          </w:tcPr>
          <w:p w14:paraId="70A1A6ED">
            <w:pPr>
              <w:jc w:val="center"/>
              <w:rPr>
                <w:rFonts w:ascii="宋体" w:hAnsi="宋体"/>
                <w:bCs/>
                <w:sz w:val="24"/>
              </w:rPr>
            </w:pPr>
            <w:r>
              <w:rPr>
                <w:rFonts w:hint="eastAsia" w:ascii="宋体" w:hAnsi="宋体"/>
                <w:bCs/>
                <w:sz w:val="24"/>
              </w:rPr>
              <w:t>中心副主任</w:t>
            </w:r>
          </w:p>
        </w:tc>
        <w:tc>
          <w:tcPr>
            <w:tcW w:w="1240" w:type="dxa"/>
            <w:vAlign w:val="center"/>
          </w:tcPr>
          <w:p w14:paraId="5E0AF250">
            <w:pPr>
              <w:jc w:val="center"/>
              <w:rPr>
                <w:rFonts w:ascii="宋体" w:hAnsi="宋体"/>
                <w:bCs/>
                <w:sz w:val="24"/>
              </w:rPr>
            </w:pPr>
            <w:r>
              <w:rPr>
                <w:rFonts w:hint="eastAsia" w:ascii="宋体" w:hAnsi="宋体"/>
                <w:bCs/>
                <w:sz w:val="24"/>
              </w:rPr>
              <w:t>免疫血液学</w:t>
            </w:r>
          </w:p>
        </w:tc>
        <w:tc>
          <w:tcPr>
            <w:tcW w:w="1981" w:type="dxa"/>
            <w:vAlign w:val="center"/>
          </w:tcPr>
          <w:p w14:paraId="1FDD1F7B">
            <w:pPr>
              <w:jc w:val="center"/>
              <w:rPr>
                <w:rFonts w:ascii="宋体" w:hAnsi="宋体"/>
                <w:bCs/>
                <w:sz w:val="24"/>
              </w:rPr>
            </w:pPr>
            <w:r>
              <w:rPr>
                <w:rFonts w:hint="eastAsia" w:ascii="宋体" w:hAnsi="宋体"/>
                <w:bCs/>
                <w:sz w:val="24"/>
              </w:rPr>
              <w:t>上海市血液中心</w:t>
            </w:r>
          </w:p>
        </w:tc>
        <w:tc>
          <w:tcPr>
            <w:tcW w:w="2410" w:type="dxa"/>
            <w:noWrap/>
            <w:vAlign w:val="center"/>
          </w:tcPr>
          <w:p w14:paraId="57B745A9">
            <w:pPr>
              <w:jc w:val="left"/>
              <w:rPr>
                <w:rFonts w:ascii="宋体" w:hAnsi="宋体"/>
                <w:bCs/>
                <w:sz w:val="24"/>
              </w:rPr>
            </w:pPr>
            <w:r>
              <w:rPr>
                <w:rFonts w:hint="eastAsia" w:ascii="宋体" w:hAnsi="宋体"/>
                <w:bCs/>
                <w:sz w:val="24"/>
              </w:rPr>
              <w:t>标准的审阅</w:t>
            </w:r>
          </w:p>
        </w:tc>
      </w:tr>
      <w:tr w14:paraId="1D3AB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005386F1">
            <w:pPr>
              <w:jc w:val="center"/>
              <w:rPr>
                <w:rFonts w:ascii="宋体" w:hAnsi="宋体"/>
                <w:bCs/>
                <w:sz w:val="24"/>
              </w:rPr>
            </w:pPr>
            <w:r>
              <w:rPr>
                <w:rFonts w:hint="eastAsia" w:ascii="宋体" w:hAnsi="宋体"/>
                <w:bCs/>
                <w:sz w:val="24"/>
              </w:rPr>
              <w:t>姬艳丽</w:t>
            </w:r>
          </w:p>
        </w:tc>
        <w:tc>
          <w:tcPr>
            <w:tcW w:w="1240" w:type="dxa"/>
            <w:vAlign w:val="center"/>
          </w:tcPr>
          <w:p w14:paraId="46E59DF2">
            <w:pPr>
              <w:jc w:val="center"/>
              <w:rPr>
                <w:rFonts w:ascii="宋体" w:hAnsi="宋体"/>
                <w:bCs/>
                <w:sz w:val="24"/>
              </w:rPr>
            </w:pPr>
            <w:r>
              <w:rPr>
                <w:rFonts w:hint="eastAsia" w:ascii="宋体" w:hAnsi="宋体"/>
                <w:bCs/>
                <w:sz w:val="24"/>
              </w:rPr>
              <w:t>主任技师</w:t>
            </w:r>
          </w:p>
        </w:tc>
        <w:tc>
          <w:tcPr>
            <w:tcW w:w="1240" w:type="dxa"/>
            <w:vAlign w:val="center"/>
          </w:tcPr>
          <w:p w14:paraId="5908D60A">
            <w:pPr>
              <w:jc w:val="center"/>
              <w:rPr>
                <w:rFonts w:ascii="宋体" w:hAnsi="宋体"/>
                <w:bCs/>
                <w:sz w:val="24"/>
              </w:rPr>
            </w:pPr>
            <w:r>
              <w:rPr>
                <w:rFonts w:hint="eastAsia" w:ascii="宋体" w:hAnsi="宋体"/>
                <w:bCs/>
                <w:sz w:val="24"/>
              </w:rPr>
              <w:t>/</w:t>
            </w:r>
          </w:p>
        </w:tc>
        <w:tc>
          <w:tcPr>
            <w:tcW w:w="1240" w:type="dxa"/>
            <w:vAlign w:val="center"/>
          </w:tcPr>
          <w:p w14:paraId="4A117CEF">
            <w:pPr>
              <w:jc w:val="center"/>
              <w:rPr>
                <w:rFonts w:ascii="宋体" w:hAnsi="宋体"/>
                <w:bCs/>
                <w:sz w:val="24"/>
              </w:rPr>
            </w:pPr>
            <w:r>
              <w:rPr>
                <w:rFonts w:hint="eastAsia" w:ascii="宋体" w:hAnsi="宋体"/>
                <w:bCs/>
                <w:sz w:val="24"/>
              </w:rPr>
              <w:t>输血医学</w:t>
            </w:r>
          </w:p>
        </w:tc>
        <w:tc>
          <w:tcPr>
            <w:tcW w:w="1981" w:type="dxa"/>
            <w:vAlign w:val="center"/>
          </w:tcPr>
          <w:p w14:paraId="00FBE67F">
            <w:pPr>
              <w:jc w:val="center"/>
              <w:rPr>
                <w:rFonts w:ascii="宋体" w:hAnsi="宋体"/>
                <w:bCs/>
                <w:sz w:val="24"/>
              </w:rPr>
            </w:pPr>
            <w:r>
              <w:rPr>
                <w:rFonts w:hint="eastAsia" w:ascii="宋体" w:hAnsi="宋体"/>
                <w:bCs/>
                <w:sz w:val="24"/>
              </w:rPr>
              <w:t>广州血液中心</w:t>
            </w:r>
          </w:p>
        </w:tc>
        <w:tc>
          <w:tcPr>
            <w:tcW w:w="2410" w:type="dxa"/>
            <w:noWrap/>
            <w:vAlign w:val="center"/>
          </w:tcPr>
          <w:p w14:paraId="0DAE53E6">
            <w:pPr>
              <w:jc w:val="left"/>
              <w:rPr>
                <w:rFonts w:ascii="宋体" w:hAnsi="宋体"/>
                <w:bCs/>
                <w:sz w:val="24"/>
              </w:rPr>
            </w:pPr>
            <w:r>
              <w:rPr>
                <w:rFonts w:hint="eastAsia" w:ascii="宋体" w:hAnsi="宋体"/>
                <w:bCs/>
                <w:sz w:val="24"/>
              </w:rPr>
              <w:t>相关资料的收集，标准的撰稿</w:t>
            </w:r>
          </w:p>
        </w:tc>
      </w:tr>
      <w:tr w14:paraId="6A8D5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341D53A5">
            <w:pPr>
              <w:jc w:val="center"/>
              <w:rPr>
                <w:rFonts w:ascii="宋体" w:hAnsi="宋体"/>
                <w:bCs/>
                <w:sz w:val="24"/>
              </w:rPr>
            </w:pPr>
            <w:r>
              <w:rPr>
                <w:rFonts w:hint="eastAsia" w:ascii="宋体" w:hAnsi="宋体"/>
                <w:bCs/>
                <w:sz w:val="24"/>
              </w:rPr>
              <w:t>许先国</w:t>
            </w:r>
          </w:p>
        </w:tc>
        <w:tc>
          <w:tcPr>
            <w:tcW w:w="1240" w:type="dxa"/>
            <w:vAlign w:val="center"/>
          </w:tcPr>
          <w:p w14:paraId="555BC3E5">
            <w:pPr>
              <w:jc w:val="center"/>
              <w:rPr>
                <w:rFonts w:ascii="宋体" w:hAnsi="宋体"/>
                <w:bCs/>
                <w:sz w:val="24"/>
              </w:rPr>
            </w:pPr>
            <w:r>
              <w:rPr>
                <w:rFonts w:hint="eastAsia" w:ascii="宋体" w:hAnsi="宋体"/>
                <w:bCs/>
                <w:sz w:val="24"/>
              </w:rPr>
              <w:t>主任技师</w:t>
            </w:r>
          </w:p>
        </w:tc>
        <w:tc>
          <w:tcPr>
            <w:tcW w:w="1240" w:type="dxa"/>
            <w:vAlign w:val="center"/>
          </w:tcPr>
          <w:p w14:paraId="79856391">
            <w:pPr>
              <w:jc w:val="center"/>
              <w:rPr>
                <w:rFonts w:ascii="宋体" w:hAnsi="宋体"/>
                <w:bCs/>
                <w:sz w:val="24"/>
              </w:rPr>
            </w:pPr>
            <w:r>
              <w:rPr>
                <w:rFonts w:hint="eastAsia" w:ascii="宋体" w:hAnsi="宋体"/>
                <w:bCs/>
                <w:sz w:val="24"/>
              </w:rPr>
              <w:t>研究所副所长</w:t>
            </w:r>
          </w:p>
        </w:tc>
        <w:tc>
          <w:tcPr>
            <w:tcW w:w="1240" w:type="dxa"/>
            <w:vAlign w:val="center"/>
          </w:tcPr>
          <w:p w14:paraId="5A118353">
            <w:pPr>
              <w:jc w:val="center"/>
              <w:rPr>
                <w:rFonts w:ascii="宋体" w:hAnsi="宋体"/>
                <w:bCs/>
                <w:sz w:val="24"/>
              </w:rPr>
            </w:pPr>
            <w:r>
              <w:rPr>
                <w:rFonts w:hint="eastAsia" w:ascii="宋体" w:hAnsi="宋体"/>
                <w:bCs/>
                <w:sz w:val="24"/>
              </w:rPr>
              <w:t>输血医学</w:t>
            </w:r>
          </w:p>
        </w:tc>
        <w:tc>
          <w:tcPr>
            <w:tcW w:w="1981" w:type="dxa"/>
            <w:vAlign w:val="center"/>
          </w:tcPr>
          <w:p w14:paraId="36308D40">
            <w:pPr>
              <w:jc w:val="center"/>
              <w:rPr>
                <w:rFonts w:ascii="宋体" w:hAnsi="宋体"/>
                <w:bCs/>
                <w:sz w:val="24"/>
              </w:rPr>
            </w:pPr>
            <w:r>
              <w:rPr>
                <w:rFonts w:hint="eastAsia" w:ascii="宋体" w:hAnsi="宋体"/>
                <w:bCs/>
                <w:sz w:val="24"/>
              </w:rPr>
              <w:t>浙江省血液中心</w:t>
            </w:r>
          </w:p>
        </w:tc>
        <w:tc>
          <w:tcPr>
            <w:tcW w:w="2410" w:type="dxa"/>
            <w:noWrap/>
            <w:vAlign w:val="center"/>
          </w:tcPr>
          <w:p w14:paraId="1E9CFCFB">
            <w:pPr>
              <w:jc w:val="left"/>
              <w:rPr>
                <w:rFonts w:ascii="宋体" w:hAnsi="宋体"/>
                <w:bCs/>
                <w:sz w:val="24"/>
              </w:rPr>
            </w:pPr>
            <w:r>
              <w:rPr>
                <w:rFonts w:hint="eastAsia" w:ascii="宋体" w:hAnsi="宋体"/>
                <w:bCs/>
                <w:sz w:val="24"/>
              </w:rPr>
              <w:t>相关资料的收集，标准的撰稿</w:t>
            </w:r>
          </w:p>
        </w:tc>
      </w:tr>
      <w:tr w14:paraId="4DD7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770A3663">
            <w:pPr>
              <w:jc w:val="center"/>
              <w:rPr>
                <w:rFonts w:ascii="宋体" w:hAnsi="宋体"/>
                <w:bCs/>
                <w:sz w:val="24"/>
              </w:rPr>
            </w:pPr>
            <w:r>
              <w:rPr>
                <w:rFonts w:hint="eastAsia" w:ascii="宋体" w:hAnsi="宋体"/>
                <w:bCs/>
                <w:sz w:val="24"/>
              </w:rPr>
              <w:t>宫济武</w:t>
            </w:r>
          </w:p>
        </w:tc>
        <w:tc>
          <w:tcPr>
            <w:tcW w:w="1240" w:type="dxa"/>
            <w:vAlign w:val="center"/>
          </w:tcPr>
          <w:p w14:paraId="2E1DB66A">
            <w:pPr>
              <w:jc w:val="center"/>
              <w:rPr>
                <w:rFonts w:ascii="宋体" w:hAnsi="宋体"/>
                <w:bCs/>
                <w:sz w:val="24"/>
              </w:rPr>
            </w:pPr>
            <w:r>
              <w:rPr>
                <w:rFonts w:hint="eastAsia" w:ascii="宋体" w:hAnsi="宋体"/>
                <w:bCs/>
                <w:sz w:val="24"/>
              </w:rPr>
              <w:t>主任医师</w:t>
            </w:r>
          </w:p>
        </w:tc>
        <w:tc>
          <w:tcPr>
            <w:tcW w:w="1240" w:type="dxa"/>
            <w:vAlign w:val="center"/>
          </w:tcPr>
          <w:p w14:paraId="1597B702">
            <w:pPr>
              <w:jc w:val="center"/>
              <w:rPr>
                <w:rFonts w:ascii="宋体" w:hAnsi="宋体"/>
                <w:bCs/>
                <w:sz w:val="24"/>
              </w:rPr>
            </w:pPr>
            <w:r>
              <w:rPr>
                <w:rFonts w:hint="eastAsia" w:ascii="宋体" w:hAnsi="宋体"/>
                <w:bCs/>
                <w:sz w:val="24"/>
              </w:rPr>
              <w:t>科主任</w:t>
            </w:r>
          </w:p>
        </w:tc>
        <w:tc>
          <w:tcPr>
            <w:tcW w:w="1240" w:type="dxa"/>
            <w:vAlign w:val="center"/>
          </w:tcPr>
          <w:p w14:paraId="37E4BCDB">
            <w:pPr>
              <w:jc w:val="center"/>
              <w:rPr>
                <w:rFonts w:ascii="宋体" w:hAnsi="宋体"/>
                <w:bCs/>
                <w:sz w:val="24"/>
              </w:rPr>
            </w:pPr>
            <w:r>
              <w:rPr>
                <w:rFonts w:hint="eastAsia" w:ascii="宋体" w:hAnsi="宋体"/>
                <w:bCs/>
                <w:sz w:val="24"/>
              </w:rPr>
              <w:t>输血医学</w:t>
            </w:r>
          </w:p>
        </w:tc>
        <w:tc>
          <w:tcPr>
            <w:tcW w:w="1981" w:type="dxa"/>
            <w:vAlign w:val="center"/>
          </w:tcPr>
          <w:p w14:paraId="09FE2591">
            <w:pPr>
              <w:jc w:val="center"/>
              <w:rPr>
                <w:rFonts w:ascii="宋体" w:hAnsi="宋体"/>
                <w:bCs/>
                <w:sz w:val="24"/>
              </w:rPr>
            </w:pPr>
            <w:r>
              <w:rPr>
                <w:rFonts w:hint="eastAsia" w:ascii="宋体" w:hAnsi="宋体"/>
                <w:bCs/>
                <w:sz w:val="24"/>
              </w:rPr>
              <w:t>北京医院</w:t>
            </w:r>
          </w:p>
        </w:tc>
        <w:tc>
          <w:tcPr>
            <w:tcW w:w="2410" w:type="dxa"/>
            <w:noWrap/>
            <w:vAlign w:val="center"/>
          </w:tcPr>
          <w:p w14:paraId="18041828">
            <w:pPr>
              <w:jc w:val="left"/>
              <w:rPr>
                <w:rFonts w:ascii="宋体" w:hAnsi="宋体"/>
                <w:bCs/>
                <w:sz w:val="24"/>
              </w:rPr>
            </w:pPr>
            <w:r>
              <w:rPr>
                <w:rFonts w:hint="eastAsia" w:ascii="宋体" w:hAnsi="宋体"/>
                <w:bCs/>
                <w:sz w:val="24"/>
              </w:rPr>
              <w:t>标准的审阅</w:t>
            </w:r>
          </w:p>
        </w:tc>
      </w:tr>
      <w:tr w14:paraId="7E451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4A041744">
            <w:pPr>
              <w:jc w:val="center"/>
              <w:rPr>
                <w:rFonts w:ascii="宋体" w:hAnsi="宋体"/>
                <w:bCs/>
                <w:sz w:val="24"/>
              </w:rPr>
            </w:pPr>
            <w:r>
              <w:rPr>
                <w:rFonts w:hint="eastAsia" w:ascii="宋体" w:hAnsi="宋体"/>
                <w:bCs/>
                <w:sz w:val="24"/>
              </w:rPr>
              <w:t>邵超鹏</w:t>
            </w:r>
          </w:p>
        </w:tc>
        <w:tc>
          <w:tcPr>
            <w:tcW w:w="1240" w:type="dxa"/>
            <w:vAlign w:val="center"/>
          </w:tcPr>
          <w:p w14:paraId="5DB55669">
            <w:pPr>
              <w:jc w:val="center"/>
              <w:rPr>
                <w:rFonts w:ascii="宋体" w:hAnsi="宋体"/>
                <w:bCs/>
                <w:sz w:val="24"/>
              </w:rPr>
            </w:pPr>
            <w:r>
              <w:rPr>
                <w:rFonts w:hint="eastAsia" w:ascii="宋体" w:hAnsi="宋体"/>
                <w:bCs/>
                <w:sz w:val="24"/>
              </w:rPr>
              <w:t>主任技师</w:t>
            </w:r>
          </w:p>
        </w:tc>
        <w:tc>
          <w:tcPr>
            <w:tcW w:w="1240" w:type="dxa"/>
            <w:vAlign w:val="center"/>
          </w:tcPr>
          <w:p w14:paraId="048F9439">
            <w:pPr>
              <w:jc w:val="center"/>
              <w:rPr>
                <w:rFonts w:ascii="宋体" w:hAnsi="宋体"/>
                <w:bCs/>
                <w:sz w:val="24"/>
              </w:rPr>
            </w:pPr>
            <w:r>
              <w:rPr>
                <w:rFonts w:hint="eastAsia" w:ascii="宋体" w:hAnsi="宋体"/>
                <w:bCs/>
                <w:sz w:val="24"/>
              </w:rPr>
              <w:t>科主任</w:t>
            </w:r>
          </w:p>
        </w:tc>
        <w:tc>
          <w:tcPr>
            <w:tcW w:w="1240" w:type="dxa"/>
            <w:vAlign w:val="center"/>
          </w:tcPr>
          <w:p w14:paraId="5E59AC9C">
            <w:pPr>
              <w:jc w:val="center"/>
              <w:rPr>
                <w:rFonts w:ascii="宋体" w:hAnsi="宋体"/>
                <w:bCs/>
                <w:sz w:val="24"/>
              </w:rPr>
            </w:pPr>
            <w:r>
              <w:rPr>
                <w:rFonts w:hint="eastAsia" w:ascii="宋体" w:hAnsi="宋体"/>
                <w:bCs/>
                <w:sz w:val="24"/>
              </w:rPr>
              <w:t>免疫血液学</w:t>
            </w:r>
          </w:p>
        </w:tc>
        <w:tc>
          <w:tcPr>
            <w:tcW w:w="1981" w:type="dxa"/>
            <w:vAlign w:val="center"/>
          </w:tcPr>
          <w:p w14:paraId="51065463">
            <w:pPr>
              <w:jc w:val="center"/>
              <w:rPr>
                <w:rFonts w:ascii="宋体" w:hAnsi="宋体"/>
                <w:bCs/>
                <w:sz w:val="24"/>
              </w:rPr>
            </w:pPr>
            <w:r>
              <w:rPr>
                <w:rFonts w:hint="eastAsia" w:ascii="宋体" w:hAnsi="宋体"/>
                <w:bCs/>
                <w:sz w:val="24"/>
              </w:rPr>
              <w:t>深圳市第二人民医院</w:t>
            </w:r>
          </w:p>
        </w:tc>
        <w:tc>
          <w:tcPr>
            <w:tcW w:w="2410" w:type="dxa"/>
            <w:noWrap/>
            <w:vAlign w:val="center"/>
          </w:tcPr>
          <w:p w14:paraId="01C2C571">
            <w:pPr>
              <w:jc w:val="left"/>
              <w:rPr>
                <w:rFonts w:ascii="宋体" w:hAnsi="宋体"/>
                <w:bCs/>
                <w:sz w:val="24"/>
              </w:rPr>
            </w:pPr>
            <w:r>
              <w:rPr>
                <w:rFonts w:hint="eastAsia" w:ascii="宋体" w:hAnsi="宋体"/>
                <w:bCs/>
                <w:sz w:val="24"/>
              </w:rPr>
              <w:t>相关资料的收集，标准的撰稿</w:t>
            </w:r>
          </w:p>
        </w:tc>
      </w:tr>
      <w:tr w14:paraId="1434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2E71E28F">
            <w:pPr>
              <w:jc w:val="center"/>
              <w:rPr>
                <w:rFonts w:ascii="宋体" w:hAnsi="宋体"/>
                <w:bCs/>
                <w:sz w:val="24"/>
              </w:rPr>
            </w:pPr>
            <w:r>
              <w:rPr>
                <w:rFonts w:hint="eastAsia" w:ascii="宋体" w:hAnsi="宋体"/>
                <w:bCs/>
                <w:sz w:val="24"/>
              </w:rPr>
              <w:t>叶璐夷</w:t>
            </w:r>
          </w:p>
        </w:tc>
        <w:tc>
          <w:tcPr>
            <w:tcW w:w="1240" w:type="dxa"/>
            <w:vAlign w:val="center"/>
          </w:tcPr>
          <w:p w14:paraId="7BD82C47">
            <w:pPr>
              <w:jc w:val="center"/>
              <w:rPr>
                <w:rFonts w:ascii="宋体" w:hAnsi="宋体"/>
                <w:bCs/>
                <w:sz w:val="24"/>
              </w:rPr>
            </w:pPr>
            <w:r>
              <w:rPr>
                <w:rFonts w:hint="eastAsia" w:ascii="宋体" w:hAnsi="宋体"/>
                <w:bCs/>
                <w:sz w:val="24"/>
              </w:rPr>
              <w:t>副研究员</w:t>
            </w:r>
          </w:p>
        </w:tc>
        <w:tc>
          <w:tcPr>
            <w:tcW w:w="1240" w:type="dxa"/>
            <w:vAlign w:val="center"/>
          </w:tcPr>
          <w:p w14:paraId="1794CFBF">
            <w:pPr>
              <w:jc w:val="center"/>
              <w:rPr>
                <w:rFonts w:ascii="宋体" w:hAnsi="宋体"/>
                <w:bCs/>
                <w:sz w:val="24"/>
              </w:rPr>
            </w:pPr>
            <w:r>
              <w:rPr>
                <w:rFonts w:hint="eastAsia" w:ascii="宋体" w:hAnsi="宋体"/>
                <w:bCs/>
                <w:sz w:val="24"/>
              </w:rPr>
              <w:t>/</w:t>
            </w:r>
          </w:p>
        </w:tc>
        <w:tc>
          <w:tcPr>
            <w:tcW w:w="1240" w:type="dxa"/>
            <w:vAlign w:val="center"/>
          </w:tcPr>
          <w:p w14:paraId="1FB0FD04">
            <w:pPr>
              <w:jc w:val="center"/>
              <w:rPr>
                <w:rFonts w:ascii="宋体" w:hAnsi="宋体"/>
                <w:bCs/>
                <w:sz w:val="24"/>
              </w:rPr>
            </w:pPr>
            <w:r>
              <w:rPr>
                <w:rFonts w:hint="eastAsia" w:ascii="宋体" w:hAnsi="宋体"/>
                <w:bCs/>
                <w:sz w:val="24"/>
              </w:rPr>
              <w:t>输血医学</w:t>
            </w:r>
          </w:p>
        </w:tc>
        <w:tc>
          <w:tcPr>
            <w:tcW w:w="1981" w:type="dxa"/>
            <w:vAlign w:val="center"/>
          </w:tcPr>
          <w:p w14:paraId="56118EFA">
            <w:pPr>
              <w:jc w:val="center"/>
              <w:rPr>
                <w:rFonts w:ascii="宋体" w:hAnsi="宋体"/>
                <w:bCs/>
                <w:sz w:val="24"/>
              </w:rPr>
            </w:pPr>
            <w:r>
              <w:rPr>
                <w:rFonts w:hint="eastAsia" w:ascii="宋体" w:hAnsi="宋体"/>
                <w:bCs/>
                <w:sz w:val="24"/>
              </w:rPr>
              <w:t>上海市血液中心</w:t>
            </w:r>
          </w:p>
        </w:tc>
        <w:tc>
          <w:tcPr>
            <w:tcW w:w="2410" w:type="dxa"/>
            <w:noWrap/>
            <w:vAlign w:val="center"/>
          </w:tcPr>
          <w:p w14:paraId="3ECC3EC5">
            <w:pPr>
              <w:jc w:val="left"/>
              <w:rPr>
                <w:rFonts w:ascii="宋体" w:hAnsi="宋体"/>
                <w:bCs/>
                <w:sz w:val="24"/>
              </w:rPr>
            </w:pPr>
            <w:r>
              <w:rPr>
                <w:rFonts w:hint="eastAsia" w:ascii="宋体" w:hAnsi="宋体"/>
                <w:bCs/>
                <w:sz w:val="24"/>
              </w:rPr>
              <w:t>相关资料的收集，标准的撰稿</w:t>
            </w:r>
          </w:p>
        </w:tc>
      </w:tr>
      <w:tr w14:paraId="7186F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0E18992E">
            <w:pPr>
              <w:jc w:val="center"/>
              <w:rPr>
                <w:rFonts w:ascii="宋体" w:hAnsi="宋体"/>
                <w:bCs/>
                <w:sz w:val="24"/>
              </w:rPr>
            </w:pPr>
            <w:r>
              <w:rPr>
                <w:rFonts w:hint="eastAsia" w:ascii="宋体" w:hAnsi="宋体"/>
                <w:bCs/>
                <w:sz w:val="24"/>
              </w:rPr>
              <w:t>李剑平</w:t>
            </w:r>
          </w:p>
        </w:tc>
        <w:tc>
          <w:tcPr>
            <w:tcW w:w="1240" w:type="dxa"/>
            <w:vAlign w:val="center"/>
          </w:tcPr>
          <w:p w14:paraId="2C12A19C">
            <w:pPr>
              <w:jc w:val="center"/>
              <w:rPr>
                <w:rFonts w:ascii="宋体" w:hAnsi="宋体"/>
                <w:bCs/>
                <w:sz w:val="24"/>
              </w:rPr>
            </w:pPr>
            <w:r>
              <w:rPr>
                <w:rFonts w:hint="eastAsia" w:ascii="宋体" w:hAnsi="宋体"/>
                <w:bCs/>
                <w:sz w:val="24"/>
              </w:rPr>
              <w:t>主任医师</w:t>
            </w:r>
          </w:p>
        </w:tc>
        <w:tc>
          <w:tcPr>
            <w:tcW w:w="1240" w:type="dxa"/>
            <w:vAlign w:val="center"/>
          </w:tcPr>
          <w:p w14:paraId="6936C2AF">
            <w:pPr>
              <w:jc w:val="center"/>
              <w:rPr>
                <w:rFonts w:ascii="宋体" w:hAnsi="宋体"/>
                <w:bCs/>
                <w:sz w:val="24"/>
              </w:rPr>
            </w:pPr>
            <w:r>
              <w:rPr>
                <w:rFonts w:hint="eastAsia" w:ascii="宋体" w:hAnsi="宋体"/>
                <w:bCs/>
                <w:sz w:val="24"/>
              </w:rPr>
              <w:t>研究所所长</w:t>
            </w:r>
          </w:p>
        </w:tc>
        <w:tc>
          <w:tcPr>
            <w:tcW w:w="1240" w:type="dxa"/>
            <w:vAlign w:val="center"/>
          </w:tcPr>
          <w:p w14:paraId="092D018E">
            <w:pPr>
              <w:jc w:val="center"/>
              <w:rPr>
                <w:rFonts w:ascii="宋体" w:hAnsi="宋体"/>
                <w:bCs/>
                <w:sz w:val="24"/>
              </w:rPr>
            </w:pPr>
            <w:r>
              <w:rPr>
                <w:rFonts w:hint="eastAsia" w:ascii="宋体" w:hAnsi="宋体"/>
                <w:bCs/>
                <w:sz w:val="24"/>
              </w:rPr>
              <w:t>输血医学</w:t>
            </w:r>
          </w:p>
        </w:tc>
        <w:tc>
          <w:tcPr>
            <w:tcW w:w="1981" w:type="dxa"/>
            <w:vAlign w:val="center"/>
          </w:tcPr>
          <w:p w14:paraId="2E6616D0">
            <w:pPr>
              <w:jc w:val="center"/>
              <w:rPr>
                <w:rFonts w:ascii="宋体" w:hAnsi="宋体"/>
                <w:bCs/>
                <w:sz w:val="24"/>
              </w:rPr>
            </w:pPr>
            <w:r>
              <w:rPr>
                <w:rFonts w:hint="eastAsia" w:ascii="宋体" w:hAnsi="宋体"/>
                <w:bCs/>
                <w:sz w:val="24"/>
              </w:rPr>
              <w:t>辽宁省血液中心</w:t>
            </w:r>
          </w:p>
        </w:tc>
        <w:tc>
          <w:tcPr>
            <w:tcW w:w="2410" w:type="dxa"/>
            <w:noWrap/>
            <w:vAlign w:val="center"/>
          </w:tcPr>
          <w:p w14:paraId="2BA5155A">
            <w:pPr>
              <w:jc w:val="left"/>
              <w:rPr>
                <w:rFonts w:ascii="宋体" w:hAnsi="宋体"/>
                <w:bCs/>
                <w:sz w:val="24"/>
              </w:rPr>
            </w:pPr>
            <w:r>
              <w:rPr>
                <w:rFonts w:hint="eastAsia" w:ascii="宋体" w:hAnsi="宋体"/>
                <w:bCs/>
                <w:sz w:val="24"/>
              </w:rPr>
              <w:t>相关资料的收集，标准的撰稿</w:t>
            </w:r>
          </w:p>
        </w:tc>
      </w:tr>
      <w:tr w14:paraId="30D88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2F81C767">
            <w:pPr>
              <w:jc w:val="center"/>
              <w:rPr>
                <w:rFonts w:ascii="宋体" w:hAnsi="宋体"/>
                <w:bCs/>
                <w:sz w:val="24"/>
              </w:rPr>
            </w:pPr>
            <w:r>
              <w:rPr>
                <w:rFonts w:hint="eastAsia" w:ascii="宋体" w:hAnsi="宋体"/>
                <w:bCs/>
                <w:sz w:val="24"/>
              </w:rPr>
              <w:t>穆士杰</w:t>
            </w:r>
          </w:p>
        </w:tc>
        <w:tc>
          <w:tcPr>
            <w:tcW w:w="1240" w:type="dxa"/>
            <w:vAlign w:val="center"/>
          </w:tcPr>
          <w:p w14:paraId="50567FFD">
            <w:pPr>
              <w:jc w:val="center"/>
              <w:rPr>
                <w:rFonts w:ascii="宋体" w:hAnsi="宋体"/>
                <w:bCs/>
                <w:sz w:val="24"/>
              </w:rPr>
            </w:pPr>
            <w:r>
              <w:rPr>
                <w:rFonts w:hint="eastAsia" w:ascii="宋体" w:hAnsi="宋体"/>
                <w:bCs/>
                <w:sz w:val="24"/>
              </w:rPr>
              <w:t>主任医师</w:t>
            </w:r>
          </w:p>
        </w:tc>
        <w:tc>
          <w:tcPr>
            <w:tcW w:w="1240" w:type="dxa"/>
            <w:vAlign w:val="center"/>
          </w:tcPr>
          <w:p w14:paraId="0D3652AB">
            <w:pPr>
              <w:jc w:val="center"/>
              <w:rPr>
                <w:rFonts w:ascii="宋体" w:hAnsi="宋体"/>
                <w:bCs/>
                <w:sz w:val="24"/>
              </w:rPr>
            </w:pPr>
            <w:r>
              <w:rPr>
                <w:rFonts w:hint="eastAsia" w:ascii="宋体" w:hAnsi="宋体"/>
                <w:bCs/>
                <w:sz w:val="24"/>
              </w:rPr>
              <w:t>科主任</w:t>
            </w:r>
          </w:p>
        </w:tc>
        <w:tc>
          <w:tcPr>
            <w:tcW w:w="1240" w:type="dxa"/>
            <w:vAlign w:val="center"/>
          </w:tcPr>
          <w:p w14:paraId="43A03ED4">
            <w:pPr>
              <w:jc w:val="center"/>
              <w:rPr>
                <w:rFonts w:ascii="宋体" w:hAnsi="宋体"/>
                <w:bCs/>
                <w:sz w:val="24"/>
              </w:rPr>
            </w:pPr>
            <w:r>
              <w:rPr>
                <w:rFonts w:hint="eastAsia" w:ascii="宋体" w:hAnsi="宋体"/>
                <w:bCs/>
                <w:sz w:val="24"/>
              </w:rPr>
              <w:t>输血医学</w:t>
            </w:r>
          </w:p>
        </w:tc>
        <w:tc>
          <w:tcPr>
            <w:tcW w:w="1981" w:type="dxa"/>
            <w:vAlign w:val="center"/>
          </w:tcPr>
          <w:p w14:paraId="67E65FB0">
            <w:pPr>
              <w:jc w:val="center"/>
              <w:rPr>
                <w:rFonts w:ascii="宋体" w:hAnsi="宋体"/>
                <w:bCs/>
                <w:sz w:val="24"/>
              </w:rPr>
            </w:pPr>
            <w:r>
              <w:rPr>
                <w:rFonts w:hint="eastAsia" w:ascii="宋体" w:hAnsi="宋体"/>
                <w:bCs/>
                <w:sz w:val="24"/>
              </w:rPr>
              <w:t>空军军医大学第二附属医院</w:t>
            </w:r>
          </w:p>
        </w:tc>
        <w:tc>
          <w:tcPr>
            <w:tcW w:w="2410" w:type="dxa"/>
            <w:noWrap/>
            <w:vAlign w:val="center"/>
          </w:tcPr>
          <w:p w14:paraId="00283590">
            <w:pPr>
              <w:jc w:val="left"/>
              <w:rPr>
                <w:rFonts w:ascii="宋体" w:hAnsi="宋体"/>
                <w:bCs/>
                <w:sz w:val="24"/>
              </w:rPr>
            </w:pPr>
            <w:r>
              <w:rPr>
                <w:rFonts w:hint="eastAsia" w:ascii="宋体" w:hAnsi="宋体"/>
                <w:bCs/>
                <w:sz w:val="24"/>
              </w:rPr>
              <w:t>相关资料的收集，标准的撰稿</w:t>
            </w:r>
          </w:p>
        </w:tc>
      </w:tr>
      <w:tr w14:paraId="3ACCD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0" w:type="dxa"/>
            <w:vAlign w:val="center"/>
          </w:tcPr>
          <w:p w14:paraId="7344D59E">
            <w:pPr>
              <w:jc w:val="center"/>
              <w:rPr>
                <w:rFonts w:ascii="宋体" w:hAnsi="宋体"/>
                <w:bCs/>
                <w:sz w:val="24"/>
              </w:rPr>
            </w:pPr>
            <w:r>
              <w:rPr>
                <w:rFonts w:hint="eastAsia" w:ascii="宋体" w:hAnsi="宋体"/>
                <w:bCs/>
                <w:sz w:val="24"/>
              </w:rPr>
              <w:t>应燕玲</w:t>
            </w:r>
          </w:p>
        </w:tc>
        <w:tc>
          <w:tcPr>
            <w:tcW w:w="1240" w:type="dxa"/>
            <w:vAlign w:val="center"/>
          </w:tcPr>
          <w:p w14:paraId="3ED1276B">
            <w:pPr>
              <w:pStyle w:val="9"/>
              <w:ind w:firstLine="0" w:firstLineChars="0"/>
              <w:jc w:val="center"/>
              <w:rPr>
                <w:rFonts w:hAnsi="宋体"/>
                <w:bCs/>
                <w:sz w:val="24"/>
                <w:szCs w:val="24"/>
              </w:rPr>
            </w:pPr>
            <w:r>
              <w:rPr>
                <w:rFonts w:hint="eastAsia" w:hAnsi="宋体"/>
                <w:bCs/>
                <w:sz w:val="24"/>
                <w:szCs w:val="24"/>
              </w:rPr>
              <w:t>主任技师</w:t>
            </w:r>
          </w:p>
        </w:tc>
        <w:tc>
          <w:tcPr>
            <w:tcW w:w="1240" w:type="dxa"/>
            <w:vAlign w:val="center"/>
          </w:tcPr>
          <w:p w14:paraId="47E77CD1">
            <w:pPr>
              <w:pStyle w:val="9"/>
              <w:ind w:firstLine="0" w:firstLineChars="0"/>
              <w:jc w:val="center"/>
              <w:rPr>
                <w:rFonts w:hAnsi="宋体"/>
                <w:bCs/>
                <w:sz w:val="24"/>
                <w:szCs w:val="24"/>
              </w:rPr>
            </w:pPr>
            <w:r>
              <w:rPr>
                <w:rFonts w:hint="eastAsia" w:hAnsi="宋体"/>
                <w:bCs/>
                <w:sz w:val="24"/>
                <w:szCs w:val="24"/>
              </w:rPr>
              <w:t>/</w:t>
            </w:r>
          </w:p>
        </w:tc>
        <w:tc>
          <w:tcPr>
            <w:tcW w:w="1240" w:type="dxa"/>
            <w:vAlign w:val="center"/>
          </w:tcPr>
          <w:p w14:paraId="73DDAA47">
            <w:pPr>
              <w:pStyle w:val="9"/>
              <w:ind w:firstLine="0" w:firstLineChars="0"/>
              <w:jc w:val="center"/>
              <w:rPr>
                <w:rFonts w:hAnsi="宋体"/>
                <w:bCs/>
                <w:sz w:val="24"/>
                <w:szCs w:val="24"/>
              </w:rPr>
            </w:pPr>
            <w:r>
              <w:rPr>
                <w:rFonts w:hint="eastAsia" w:hAnsi="宋体"/>
                <w:bCs/>
                <w:sz w:val="24"/>
                <w:szCs w:val="24"/>
              </w:rPr>
              <w:t>输血医学</w:t>
            </w:r>
          </w:p>
        </w:tc>
        <w:tc>
          <w:tcPr>
            <w:tcW w:w="1981" w:type="dxa"/>
            <w:vAlign w:val="center"/>
          </w:tcPr>
          <w:p w14:paraId="6C59526A">
            <w:pPr>
              <w:pStyle w:val="9"/>
              <w:ind w:firstLine="0" w:firstLineChars="0"/>
              <w:jc w:val="center"/>
              <w:rPr>
                <w:rFonts w:hAnsi="宋体"/>
                <w:bCs/>
                <w:sz w:val="24"/>
                <w:szCs w:val="24"/>
              </w:rPr>
            </w:pPr>
            <w:r>
              <w:rPr>
                <w:rFonts w:hint="eastAsia" w:hAnsi="宋体"/>
                <w:bCs/>
                <w:sz w:val="24"/>
                <w:szCs w:val="24"/>
              </w:rPr>
              <w:t>浙江省血液中心</w:t>
            </w:r>
          </w:p>
        </w:tc>
        <w:tc>
          <w:tcPr>
            <w:tcW w:w="2410" w:type="dxa"/>
            <w:noWrap/>
            <w:vAlign w:val="center"/>
          </w:tcPr>
          <w:p w14:paraId="074BAAFA">
            <w:pPr>
              <w:jc w:val="left"/>
              <w:rPr>
                <w:rFonts w:ascii="宋体" w:hAnsi="宋体"/>
                <w:bCs/>
                <w:sz w:val="24"/>
              </w:rPr>
            </w:pPr>
            <w:r>
              <w:rPr>
                <w:rFonts w:hint="eastAsia" w:ascii="宋体" w:hAnsi="宋体"/>
                <w:bCs/>
                <w:sz w:val="24"/>
              </w:rPr>
              <w:t>相关资料的收集，标准的撰稿</w:t>
            </w:r>
          </w:p>
        </w:tc>
      </w:tr>
    </w:tbl>
    <w:p w14:paraId="76BFF868">
      <w:pPr>
        <w:spacing w:line="360" w:lineRule="auto"/>
        <w:ind w:firstLine="560" w:firstLineChars="200"/>
        <w:rPr>
          <w:rFonts w:ascii="黑体" w:hAnsi="宋体" w:eastAsia="黑体"/>
          <w:sz w:val="28"/>
          <w:szCs w:val="28"/>
        </w:rPr>
      </w:pPr>
      <w:r>
        <w:rPr>
          <w:rFonts w:hint="eastAsia" w:ascii="宋体" w:hAnsi="宋体" w:cs="Courier New"/>
          <w:sz w:val="28"/>
          <w:szCs w:val="28"/>
        </w:rPr>
        <w:t>编写组成员在充分考虑复审意见，结合现实情况对该标准进行了修订。2</w:t>
      </w:r>
      <w:r>
        <w:rPr>
          <w:rFonts w:ascii="宋体" w:hAnsi="宋体" w:cs="Courier New"/>
          <w:sz w:val="28"/>
          <w:szCs w:val="28"/>
        </w:rPr>
        <w:t>025</w:t>
      </w:r>
      <w:r>
        <w:rPr>
          <w:rFonts w:hint="eastAsia" w:ascii="宋体" w:hAnsi="宋体" w:cs="Courier New"/>
          <w:sz w:val="28"/>
          <w:szCs w:val="28"/>
        </w:rPr>
        <w:t>年4</w:t>
      </w:r>
      <w:r>
        <w:rPr>
          <w:rFonts w:ascii="宋体" w:hAnsi="宋体" w:cs="Courier New"/>
          <w:sz w:val="28"/>
          <w:szCs w:val="28"/>
        </w:rPr>
        <w:t>-5</w:t>
      </w:r>
      <w:r>
        <w:rPr>
          <w:rFonts w:hint="eastAsia" w:ascii="宋体" w:hAnsi="宋体" w:cs="Courier New"/>
          <w:sz w:val="28"/>
          <w:szCs w:val="28"/>
        </w:rPr>
        <w:t>月，根据复审会议的修改建议对该标准进行了初步修订；2</w:t>
      </w:r>
      <w:r>
        <w:rPr>
          <w:rFonts w:ascii="宋体" w:hAnsi="宋体" w:cs="Courier New"/>
          <w:sz w:val="28"/>
          <w:szCs w:val="28"/>
        </w:rPr>
        <w:t>025</w:t>
      </w:r>
      <w:r>
        <w:rPr>
          <w:rFonts w:hint="eastAsia" w:ascii="宋体" w:hAnsi="宋体" w:cs="Courier New"/>
          <w:sz w:val="28"/>
          <w:szCs w:val="28"/>
        </w:rPr>
        <w:t>年</w:t>
      </w:r>
      <w:r>
        <w:rPr>
          <w:rFonts w:ascii="宋体" w:hAnsi="宋体" w:cs="Courier New"/>
          <w:sz w:val="28"/>
          <w:szCs w:val="28"/>
        </w:rPr>
        <w:t>5-6</w:t>
      </w:r>
      <w:r>
        <w:rPr>
          <w:rFonts w:hint="eastAsia" w:ascii="宋体" w:hAnsi="宋体" w:cs="Courier New"/>
          <w:sz w:val="28"/>
          <w:szCs w:val="28"/>
        </w:rPr>
        <w:t>月，在编写组成员内部进行线上意见征集和标准再修订；2</w:t>
      </w:r>
      <w:r>
        <w:rPr>
          <w:rFonts w:ascii="宋体" w:hAnsi="宋体" w:cs="Courier New"/>
          <w:sz w:val="28"/>
          <w:szCs w:val="28"/>
        </w:rPr>
        <w:t>025</w:t>
      </w:r>
      <w:r>
        <w:rPr>
          <w:rFonts w:hint="eastAsia" w:ascii="宋体" w:hAnsi="宋体" w:cs="Courier New"/>
          <w:sz w:val="28"/>
          <w:szCs w:val="28"/>
        </w:rPr>
        <w:t>年7月召集部分编写组成员在浙江衢州进行现场讨论和标准再修订；2</w:t>
      </w:r>
      <w:r>
        <w:rPr>
          <w:rFonts w:ascii="宋体" w:hAnsi="宋体" w:cs="Courier New"/>
          <w:sz w:val="28"/>
          <w:szCs w:val="28"/>
        </w:rPr>
        <w:t>025</w:t>
      </w:r>
      <w:r>
        <w:rPr>
          <w:rFonts w:hint="eastAsia" w:ascii="宋体" w:hAnsi="宋体" w:cs="Courier New"/>
          <w:sz w:val="28"/>
          <w:szCs w:val="28"/>
        </w:rPr>
        <w:t>年7月形成该标准的征求意见稿。</w:t>
      </w:r>
    </w:p>
    <w:p w14:paraId="71CBECA7">
      <w:pPr>
        <w:numPr>
          <w:ilvl w:val="0"/>
          <w:numId w:val="1"/>
        </w:numPr>
        <w:spacing w:line="360" w:lineRule="auto"/>
        <w:rPr>
          <w:rFonts w:ascii="黑体" w:hAnsi="宋体" w:eastAsia="黑体"/>
          <w:sz w:val="28"/>
          <w:szCs w:val="28"/>
        </w:rPr>
      </w:pPr>
      <w:r>
        <w:rPr>
          <w:rFonts w:hint="eastAsia" w:ascii="黑体" w:hAnsi="宋体" w:eastAsia="黑体"/>
          <w:sz w:val="28"/>
          <w:szCs w:val="28"/>
        </w:rPr>
        <w:t>与相关规范性文件和其他标准的关系</w:t>
      </w:r>
    </w:p>
    <w:p w14:paraId="52439621">
      <w:pPr>
        <w:ind w:firstLine="560" w:firstLineChars="200"/>
        <w:rPr>
          <w:rFonts w:ascii="宋体" w:hAnsi="宋体"/>
          <w:sz w:val="28"/>
          <w:szCs w:val="28"/>
        </w:rPr>
      </w:pPr>
      <w:r>
        <w:rPr>
          <w:rFonts w:hint="eastAsia" w:ascii="宋体" w:hAnsi="宋体"/>
          <w:sz w:val="28"/>
          <w:szCs w:val="28"/>
        </w:rPr>
        <w:t>随着输血医学学科的发展，分子生物学技术在输血医学领域应用越来越广泛。目前国内部分血站和医疗机构虽已开展红细胞血型基因分型工作，但是由于尚无相应的技术标准，因此亟需制定有关血型基因分型相关标准，使我国红细胞血型基因分型工作标准化、规范化。</w:t>
      </w:r>
    </w:p>
    <w:p w14:paraId="4CF9B617">
      <w:pPr>
        <w:ind w:firstLine="560" w:firstLineChars="200"/>
        <w:rPr>
          <w:rFonts w:ascii="宋体" w:hAnsi="宋体"/>
          <w:sz w:val="28"/>
          <w:szCs w:val="28"/>
        </w:rPr>
      </w:pPr>
      <w:r>
        <w:rPr>
          <w:rFonts w:hint="eastAsia" w:ascii="宋体" w:hAnsi="宋体"/>
          <w:sz w:val="28"/>
          <w:szCs w:val="28"/>
        </w:rPr>
        <w:t>本项目组根据标准研制计划，参考相关的分子诊断标准，如CNAS-GL03《分子诊断检验程序性能验证指南》、CNAS-GL037《临床化学定量检验程序性能验证指南》、《感染性疾病相关个体化医学分子检测技术指南》等确定本标准的基本框架。本标准在修订过程中，尽可能与国内现行其他分子检测相关标准保持一致，同时结合红细胞血型基因分型的实际特点编写具体内容，对于其他行业已经明确的,本标准使用者可以直接引用和借鉴的术语，本标准不再收录。</w:t>
      </w:r>
    </w:p>
    <w:p w14:paraId="65CFE7D2">
      <w:pPr>
        <w:numPr>
          <w:ilvl w:val="0"/>
          <w:numId w:val="1"/>
        </w:numPr>
        <w:spacing w:line="360" w:lineRule="auto"/>
        <w:rPr>
          <w:rFonts w:ascii="黑体" w:hAnsi="宋体" w:eastAsia="黑体"/>
          <w:sz w:val="28"/>
          <w:szCs w:val="28"/>
        </w:rPr>
      </w:pPr>
      <w:r>
        <w:rPr>
          <w:rFonts w:hint="eastAsia" w:ascii="黑体" w:hAnsi="宋体" w:eastAsia="黑体"/>
          <w:sz w:val="28"/>
          <w:szCs w:val="28"/>
        </w:rPr>
        <w:t>国外相关规定和标准情况的比对说明</w:t>
      </w:r>
    </w:p>
    <w:p w14:paraId="57E482CC">
      <w:pPr>
        <w:spacing w:line="360" w:lineRule="auto"/>
        <w:ind w:firstLine="420" w:firstLineChars="150"/>
        <w:rPr>
          <w:rFonts w:ascii="宋体" w:hAnsi="宋体"/>
          <w:sz w:val="28"/>
          <w:szCs w:val="28"/>
        </w:rPr>
      </w:pPr>
      <w:r>
        <w:rPr>
          <w:rFonts w:hint="eastAsia" w:ascii="宋体" w:hAnsi="宋体"/>
          <w:sz w:val="28"/>
          <w:szCs w:val="28"/>
        </w:rPr>
        <w:t>国外输血医学领域相关分子相关标准和指南，如美国血液与生物治疗促进协会出版的《红细胞、血小板和粒细胞抗原的分子检测标准》中对红细胞血型基因分型的管理要求和技术要求均有明确的相关规定，而且通过定期修订，体现该技术领域的不断发展现状。在本标准编制过程中，项目组收集和参考了美国血库协会关于红细胞抗原分子检测相关标准和指南，并以遵循国际通用为目标、以体现国内实践为准绳，以翻译、部分引用和修改采用为主。本标准修订项目组收集和参考的国外标准主要有：美国血液与生物治疗促进协会《Standards for Molecular Testing for Red cell,</w:t>
      </w:r>
      <w:r>
        <w:rPr>
          <w:rFonts w:ascii="宋体" w:hAnsi="宋体"/>
          <w:sz w:val="28"/>
          <w:szCs w:val="28"/>
        </w:rPr>
        <w:t xml:space="preserve"> </w:t>
      </w:r>
      <w:r>
        <w:rPr>
          <w:rFonts w:hint="eastAsia" w:ascii="宋体" w:hAnsi="宋体"/>
          <w:sz w:val="28"/>
          <w:szCs w:val="28"/>
        </w:rPr>
        <w:t>Platelet,</w:t>
      </w:r>
      <w:r>
        <w:rPr>
          <w:rFonts w:ascii="宋体" w:hAnsi="宋体"/>
          <w:sz w:val="28"/>
          <w:szCs w:val="28"/>
        </w:rPr>
        <w:t xml:space="preserve"> </w:t>
      </w:r>
      <w:r>
        <w:rPr>
          <w:rFonts w:hint="eastAsia" w:ascii="宋体" w:hAnsi="宋体"/>
          <w:sz w:val="28"/>
          <w:szCs w:val="28"/>
        </w:rPr>
        <w:t>and Neutrophil Antigens》第</w:t>
      </w:r>
      <w:r>
        <w:rPr>
          <w:rFonts w:ascii="宋体" w:hAnsi="宋体"/>
          <w:sz w:val="28"/>
          <w:szCs w:val="28"/>
        </w:rPr>
        <w:t>7</w:t>
      </w:r>
      <w:r>
        <w:rPr>
          <w:rFonts w:hint="eastAsia" w:ascii="宋体" w:hAnsi="宋体"/>
          <w:sz w:val="28"/>
          <w:szCs w:val="28"/>
        </w:rPr>
        <w:t>版。</w:t>
      </w:r>
    </w:p>
    <w:p w14:paraId="2622C42C">
      <w:pPr>
        <w:numPr>
          <w:ilvl w:val="0"/>
          <w:numId w:val="1"/>
        </w:numPr>
        <w:spacing w:line="360" w:lineRule="auto"/>
        <w:rPr>
          <w:rFonts w:ascii="黑体" w:hAnsi="宋体" w:eastAsia="黑体"/>
          <w:sz w:val="28"/>
          <w:szCs w:val="28"/>
        </w:rPr>
      </w:pPr>
      <w:r>
        <w:rPr>
          <w:rFonts w:hint="eastAsia" w:ascii="黑体" w:hAnsi="宋体" w:eastAsia="黑体"/>
          <w:sz w:val="28"/>
          <w:szCs w:val="28"/>
        </w:rPr>
        <w:t>各项技术内容的依据</w:t>
      </w:r>
    </w:p>
    <w:p w14:paraId="38131769">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 xml:space="preserve">1.范围 </w:t>
      </w:r>
    </w:p>
    <w:p w14:paraId="66046C62">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本标准规定了红细胞血型基因分型的技术要求，覆盖红细胞血型基因分型应用范畴、检测前、检测中、检测后过程和质量控制等要素。</w:t>
      </w:r>
    </w:p>
    <w:p w14:paraId="41A9A06F">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本标准适用于血站和医疗机构开展红细胞血型基因分型工作。</w:t>
      </w:r>
    </w:p>
    <w:p w14:paraId="72021C4B">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 xml:space="preserve">2.规范性引用文件 </w:t>
      </w:r>
    </w:p>
    <w:p w14:paraId="240BB7C1">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本标准制订的目的是标准化和规范化血站以及医疗机构对红细胞血型基因分型技术前、中、后各技术要求，与已发布实施的相关标准和指南保持一致。因此，将所适用的WS/T 203《输血医学术语》和WS/T</w:t>
      </w:r>
      <w:r>
        <w:rPr>
          <w:rFonts w:ascii="宋体" w:hAnsi="宋体" w:cstheme="minorEastAsia"/>
          <w:color w:val="000000"/>
          <w:sz w:val="28"/>
          <w:szCs w:val="28"/>
        </w:rPr>
        <w:t xml:space="preserve"> </w:t>
      </w:r>
      <w:r>
        <w:rPr>
          <w:rFonts w:hint="eastAsia" w:ascii="宋体" w:hAnsi="宋体" w:cstheme="minorEastAsia"/>
          <w:color w:val="000000"/>
          <w:sz w:val="28"/>
          <w:szCs w:val="28"/>
        </w:rPr>
        <w:t xml:space="preserve">420《临床实验室对商品定量试剂盒分析性能的验证》作为本标准的规范性引用文件。 </w:t>
      </w:r>
    </w:p>
    <w:p w14:paraId="588007BA">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 xml:space="preserve">3.术语和定义 </w:t>
      </w:r>
    </w:p>
    <w:p w14:paraId="7EC1E3A6">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本标准引用了WS/T 203《输血医学术语》中的部分定义。</w:t>
      </w:r>
    </w:p>
    <w:p w14:paraId="0F785DFA">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4.检测前技术要求</w:t>
      </w:r>
    </w:p>
    <w:p w14:paraId="1E1EB814">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标准主要参考了个体化医学分子检测技术指南，对整个红细胞血型基因分型的技术要求分为前、中、后三部分进行规范。对检测前的技术要求主要针对样本的检测申请要求、样本采集和标识要求、样本的运输、样本的接收和保存这几个方面进行技术要求规范，建立相应的规程。</w:t>
      </w:r>
    </w:p>
    <w:p w14:paraId="3A3CE3BC">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5.检测中技术要求</w:t>
      </w:r>
    </w:p>
    <w:p w14:paraId="3233EF0D">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本标准对基因分型的检测中技术要求，分型过程中规定了实验场地、人员和仪器设备管理的要求，对检测的核酸提取和质量要求。</w:t>
      </w:r>
      <w:bookmarkStart w:id="0" w:name="_Toc36732264"/>
      <w:bookmarkStart w:id="1" w:name="_Toc36732430"/>
      <w:bookmarkStart w:id="2" w:name="_Toc36732596"/>
      <w:r>
        <w:rPr>
          <w:rFonts w:hint="eastAsia" w:ascii="宋体" w:hAnsi="宋体" w:cstheme="minorEastAsia"/>
          <w:color w:val="000000"/>
          <w:sz w:val="28"/>
          <w:szCs w:val="28"/>
        </w:rPr>
        <w:t>推荐了基因分型的各种技术方法及其分型方法的选择</w:t>
      </w:r>
      <w:bookmarkEnd w:id="0"/>
      <w:bookmarkEnd w:id="1"/>
      <w:bookmarkEnd w:id="2"/>
      <w:r>
        <w:rPr>
          <w:rFonts w:hint="eastAsia" w:ascii="宋体" w:hAnsi="宋体" w:cstheme="minorEastAsia"/>
          <w:color w:val="000000"/>
          <w:sz w:val="28"/>
          <w:szCs w:val="28"/>
        </w:rPr>
        <w:t>。同时对分型试剂的选择和性能验证提出了明确的要求。</w:t>
      </w:r>
    </w:p>
    <w:p w14:paraId="4A61C432">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6.检测后技术要求</w:t>
      </w:r>
    </w:p>
    <w:p w14:paraId="08418C16">
      <w:pPr>
        <w:ind w:firstLine="560" w:firstLineChars="200"/>
        <w:jc w:val="left"/>
        <w:rPr>
          <w:rFonts w:ascii="宋体" w:hAnsi="宋体" w:cstheme="minorEastAsia"/>
          <w:color w:val="000000"/>
          <w:sz w:val="28"/>
          <w:szCs w:val="28"/>
        </w:rPr>
      </w:pPr>
      <w:bookmarkStart w:id="3" w:name="_Toc36732600"/>
      <w:bookmarkStart w:id="4" w:name="_Toc36732268"/>
      <w:bookmarkStart w:id="5" w:name="_Toc36732434"/>
      <w:r>
        <w:rPr>
          <w:rFonts w:hint="eastAsia" w:ascii="宋体" w:hAnsi="宋体" w:cstheme="minorEastAsia"/>
          <w:color w:val="000000"/>
          <w:sz w:val="28"/>
          <w:szCs w:val="28"/>
        </w:rPr>
        <w:t>检测后的技术要求主要对基因分型数据分析和结果判断</w:t>
      </w:r>
      <w:bookmarkEnd w:id="3"/>
      <w:bookmarkEnd w:id="4"/>
      <w:bookmarkEnd w:id="5"/>
      <w:r>
        <w:rPr>
          <w:rFonts w:hint="eastAsia" w:ascii="宋体" w:hAnsi="宋体" w:cstheme="minorEastAsia"/>
          <w:color w:val="000000"/>
          <w:sz w:val="28"/>
          <w:szCs w:val="28"/>
        </w:rPr>
        <w:t>进行了规范，对报告的解读和局限性提出了技术指导。</w:t>
      </w:r>
    </w:p>
    <w:p w14:paraId="1B70D326">
      <w:pPr>
        <w:ind w:firstLine="560" w:firstLineChars="200"/>
        <w:jc w:val="left"/>
        <w:rPr>
          <w:rFonts w:ascii="宋体" w:hAnsi="宋体" w:cstheme="minorEastAsia"/>
          <w:color w:val="000000"/>
          <w:sz w:val="28"/>
          <w:szCs w:val="28"/>
        </w:rPr>
      </w:pPr>
      <w:bookmarkStart w:id="6" w:name="_Toc36733568"/>
      <w:bookmarkStart w:id="7" w:name="_Toc36733302"/>
      <w:bookmarkStart w:id="8" w:name="_Toc36733168"/>
      <w:bookmarkStart w:id="9" w:name="_Toc36733023"/>
      <w:bookmarkStart w:id="10" w:name="_Toc36733699"/>
      <w:bookmarkStart w:id="11" w:name="_Toc36732273"/>
      <w:bookmarkStart w:id="12" w:name="_Toc36733157"/>
      <w:bookmarkStart w:id="13" w:name="_Toc36732877"/>
      <w:bookmarkStart w:id="14" w:name="_Toc36733313"/>
      <w:bookmarkStart w:id="15" w:name="_Toc36732741"/>
      <w:bookmarkStart w:id="16" w:name="_Toc36732439"/>
      <w:bookmarkStart w:id="17" w:name="_Toc36732605"/>
      <w:bookmarkStart w:id="18" w:name="_Toc36733012"/>
      <w:r>
        <w:rPr>
          <w:rFonts w:hint="eastAsia" w:ascii="宋体" w:hAnsi="宋体" w:cstheme="minorEastAsia"/>
          <w:color w:val="000000"/>
          <w:sz w:val="28"/>
          <w:szCs w:val="28"/>
        </w:rPr>
        <w:t>7.质量控制</w:t>
      </w:r>
      <w:bookmarkEnd w:id="6"/>
      <w:bookmarkEnd w:id="7"/>
      <w:bookmarkEnd w:id="8"/>
      <w:bookmarkEnd w:id="9"/>
      <w:bookmarkEnd w:id="10"/>
      <w:bookmarkEnd w:id="11"/>
      <w:bookmarkEnd w:id="12"/>
      <w:bookmarkEnd w:id="13"/>
      <w:bookmarkEnd w:id="14"/>
      <w:bookmarkEnd w:id="15"/>
      <w:bookmarkEnd w:id="16"/>
      <w:bookmarkEnd w:id="17"/>
      <w:bookmarkEnd w:id="18"/>
    </w:p>
    <w:p w14:paraId="6D89B396">
      <w:pPr>
        <w:ind w:firstLine="560" w:firstLineChars="200"/>
        <w:jc w:val="left"/>
        <w:rPr>
          <w:rFonts w:ascii="宋体" w:hAnsi="宋体" w:cs="Courier New"/>
          <w:sz w:val="28"/>
          <w:szCs w:val="28"/>
        </w:rPr>
      </w:pPr>
      <w:r>
        <w:rPr>
          <w:rFonts w:hint="eastAsia" w:ascii="宋体" w:hAnsi="宋体" w:cstheme="minorEastAsia"/>
          <w:color w:val="000000"/>
          <w:sz w:val="28"/>
          <w:szCs w:val="28"/>
        </w:rPr>
        <w:t>对基因分型技术如何进行质量控制进行了详细的描述。包括室内质控和室间质评的开展、判断和失控处理等要求。</w:t>
      </w:r>
    </w:p>
    <w:p w14:paraId="3D98DCD7">
      <w:pPr>
        <w:numPr>
          <w:ilvl w:val="0"/>
          <w:numId w:val="1"/>
        </w:numPr>
        <w:spacing w:line="360" w:lineRule="auto"/>
        <w:rPr>
          <w:rFonts w:ascii="黑体" w:hAnsi="宋体" w:eastAsia="黑体"/>
          <w:sz w:val="28"/>
          <w:szCs w:val="28"/>
        </w:rPr>
      </w:pPr>
      <w:r>
        <w:rPr>
          <w:rFonts w:hint="eastAsia" w:ascii="黑体" w:hAnsi="宋体" w:eastAsia="黑体"/>
          <w:sz w:val="28"/>
          <w:szCs w:val="28"/>
        </w:rPr>
        <w:t>征求意见和采纳情况、不采纳的理由</w:t>
      </w:r>
    </w:p>
    <w:p w14:paraId="128FE417">
      <w:pPr>
        <w:widowControl/>
        <w:overflowPunct w:val="0"/>
        <w:autoSpaceDE w:val="0"/>
        <w:autoSpaceDN w:val="0"/>
        <w:adjustRightInd w:val="0"/>
        <w:spacing w:line="360" w:lineRule="auto"/>
        <w:ind w:firstLine="560" w:firstLineChars="200"/>
        <w:textAlignment w:val="baseline"/>
        <w:rPr>
          <w:rFonts w:hint="default" w:ascii="黑体" w:hAnsi="宋体" w:eastAsia="黑体"/>
          <w:sz w:val="28"/>
          <w:szCs w:val="28"/>
          <w:lang w:val="en-US" w:eastAsia="zh-CN"/>
        </w:rPr>
      </w:pPr>
      <w:r>
        <w:rPr>
          <w:rFonts w:hint="eastAsia" w:ascii="黑体" w:hAnsi="宋体" w:eastAsia="黑体"/>
          <w:sz w:val="28"/>
          <w:szCs w:val="28"/>
          <w:lang w:val="en-US" w:eastAsia="zh-CN"/>
        </w:rPr>
        <w:t xml:space="preserve">  </w:t>
      </w:r>
      <w:r>
        <w:rPr>
          <w:rFonts w:hint="eastAsia" w:ascii="宋体" w:hAnsi="宋体"/>
          <w:kern w:val="0"/>
          <w:sz w:val="28"/>
          <w:szCs w:val="28"/>
        </w:rPr>
        <w:t>无。</w:t>
      </w:r>
    </w:p>
    <w:p w14:paraId="77D0A29F">
      <w:pPr>
        <w:numPr>
          <w:ilvl w:val="0"/>
          <w:numId w:val="1"/>
        </w:numPr>
        <w:spacing w:line="360" w:lineRule="auto"/>
        <w:rPr>
          <w:rFonts w:ascii="黑体" w:hAnsi="宋体" w:eastAsia="黑体"/>
          <w:sz w:val="28"/>
          <w:szCs w:val="28"/>
        </w:rPr>
      </w:pPr>
      <w:r>
        <w:rPr>
          <w:rFonts w:hint="eastAsia" w:ascii="黑体" w:hAnsi="宋体" w:eastAsia="黑体"/>
          <w:sz w:val="28"/>
          <w:szCs w:val="28"/>
        </w:rPr>
        <w:t>重大意见分歧的处理结果和依据</w:t>
      </w:r>
    </w:p>
    <w:p w14:paraId="1107C7E9">
      <w:pPr>
        <w:widowControl/>
        <w:overflowPunct w:val="0"/>
        <w:autoSpaceDE w:val="0"/>
        <w:autoSpaceDN w:val="0"/>
        <w:adjustRightInd w:val="0"/>
        <w:spacing w:line="360" w:lineRule="auto"/>
        <w:ind w:firstLine="560" w:firstLineChars="200"/>
        <w:textAlignment w:val="baseline"/>
        <w:rPr>
          <w:rFonts w:ascii="宋体" w:hAnsi="宋体"/>
          <w:kern w:val="0"/>
          <w:sz w:val="28"/>
          <w:szCs w:val="28"/>
        </w:rPr>
      </w:pPr>
      <w:r>
        <w:rPr>
          <w:rFonts w:hint="eastAsia" w:ascii="宋体" w:hAnsi="宋体"/>
          <w:kern w:val="0"/>
          <w:sz w:val="28"/>
          <w:szCs w:val="28"/>
        </w:rPr>
        <w:t>无。</w:t>
      </w:r>
    </w:p>
    <w:p w14:paraId="436F33BE">
      <w:pPr>
        <w:numPr>
          <w:ilvl w:val="0"/>
          <w:numId w:val="1"/>
        </w:numPr>
        <w:spacing w:line="360" w:lineRule="auto"/>
        <w:rPr>
          <w:rFonts w:ascii="黑体" w:hAnsi="宋体" w:eastAsia="黑体"/>
          <w:sz w:val="28"/>
          <w:szCs w:val="28"/>
        </w:rPr>
      </w:pPr>
      <w:r>
        <w:rPr>
          <w:rFonts w:hint="eastAsia" w:ascii="黑体" w:hAnsi="宋体" w:eastAsia="黑体"/>
          <w:sz w:val="28"/>
          <w:szCs w:val="28"/>
        </w:rPr>
        <w:t>实施标准的建议</w:t>
      </w:r>
    </w:p>
    <w:p w14:paraId="4E511947">
      <w:pPr>
        <w:spacing w:line="360" w:lineRule="auto"/>
        <w:ind w:firstLine="560" w:firstLineChars="200"/>
        <w:rPr>
          <w:rFonts w:ascii="宋体" w:hAnsi="宋体"/>
          <w:kern w:val="0"/>
          <w:sz w:val="28"/>
          <w:szCs w:val="28"/>
        </w:rPr>
      </w:pPr>
      <w:r>
        <w:rPr>
          <w:rFonts w:hint="eastAsia" w:ascii="宋体" w:hAnsi="宋体"/>
          <w:kern w:val="0"/>
          <w:sz w:val="28"/>
          <w:szCs w:val="28"/>
        </w:rPr>
        <w:t>随着分子生物技术的发展，血型基因分型在准确性、便利性、性价比等方面的优势逐渐提升，其临床应用</w:t>
      </w:r>
      <w:bookmarkStart w:id="19" w:name="_GoBack"/>
      <w:bookmarkEnd w:id="19"/>
      <w:r>
        <w:rPr>
          <w:rFonts w:hint="eastAsia" w:ascii="宋体" w:hAnsi="宋体"/>
          <w:kern w:val="0"/>
          <w:sz w:val="28"/>
          <w:szCs w:val="28"/>
        </w:rPr>
        <w:t>范围也越发扩展。本标准覆盖了红细胞基因分型的应用范畴、检测前中后过程的技术指南和质量控制。建议通过本标准的实施和推广，为血站和医疗机构开展红细胞血型基因分型提供技术指南和质量控制。基因分型试剂生产厂家、基因分型第三方检测机构在试剂生产和提供服务中，也可参照本标准。</w:t>
      </w:r>
    </w:p>
    <w:p w14:paraId="2FD8964A">
      <w:pPr>
        <w:numPr>
          <w:ilvl w:val="0"/>
          <w:numId w:val="1"/>
        </w:numPr>
        <w:spacing w:line="360" w:lineRule="auto"/>
        <w:rPr>
          <w:rFonts w:ascii="黑体" w:hAnsi="宋体" w:eastAsia="黑体"/>
          <w:sz w:val="28"/>
          <w:szCs w:val="28"/>
        </w:rPr>
      </w:pPr>
      <w:r>
        <w:rPr>
          <w:rFonts w:hint="eastAsia" w:ascii="黑体" w:hAnsi="宋体" w:eastAsia="黑体"/>
          <w:sz w:val="28"/>
          <w:szCs w:val="28"/>
        </w:rPr>
        <w:t>其他应予说明的事项</w:t>
      </w:r>
    </w:p>
    <w:p w14:paraId="7B83C4A0">
      <w:pPr>
        <w:widowControl/>
        <w:overflowPunct w:val="0"/>
        <w:autoSpaceDE w:val="0"/>
        <w:autoSpaceDN w:val="0"/>
        <w:adjustRightInd w:val="0"/>
        <w:spacing w:line="360" w:lineRule="auto"/>
        <w:ind w:firstLine="560" w:firstLineChars="200"/>
        <w:textAlignment w:val="baseline"/>
        <w:rPr>
          <w:rFonts w:ascii="宋体" w:hAnsi="宋体"/>
          <w:kern w:val="0"/>
          <w:sz w:val="28"/>
          <w:szCs w:val="28"/>
        </w:rPr>
      </w:pPr>
      <w:r>
        <w:rPr>
          <w:rFonts w:hint="eastAsia" w:ascii="宋体" w:hAnsi="宋体"/>
          <w:kern w:val="0"/>
          <w:sz w:val="28"/>
          <w:szCs w:val="28"/>
        </w:rPr>
        <w:t>无。</w:t>
      </w:r>
    </w:p>
    <w:p w14:paraId="187E7C57">
      <w:pPr>
        <w:spacing w:line="360" w:lineRule="auto"/>
      </w:pPr>
    </w:p>
    <w:p w14:paraId="48CE87A9">
      <w:pPr>
        <w:spacing w:line="360" w:lineRule="auto"/>
        <w:ind w:firstLine="560" w:firstLineChars="200"/>
        <w:jc w:val="right"/>
        <w:rPr>
          <w:rFonts w:hint="eastAsia" w:ascii="宋体" w:hAnsi="宋体"/>
          <w:kern w:val="0"/>
          <w:sz w:val="28"/>
          <w:szCs w:val="28"/>
          <w:lang w:eastAsia="zh-CN"/>
        </w:rPr>
      </w:pPr>
      <w:r>
        <w:rPr>
          <w:rFonts w:hint="eastAsia" w:ascii="宋体" w:hAnsi="宋体"/>
          <w:kern w:val="0"/>
          <w:sz w:val="28"/>
          <w:szCs w:val="28"/>
        </w:rPr>
        <w:t>《红细胞血型基因分型技术指南》</w:t>
      </w:r>
      <w:r>
        <w:rPr>
          <w:rFonts w:hint="eastAsia" w:ascii="宋体" w:hAnsi="宋体"/>
          <w:kern w:val="0"/>
          <w:sz w:val="28"/>
          <w:szCs w:val="28"/>
          <w:lang w:eastAsia="zh-CN"/>
        </w:rPr>
        <w:t>编写小组</w:t>
      </w:r>
    </w:p>
    <w:p w14:paraId="5DCF0953">
      <w:pPr>
        <w:spacing w:line="360" w:lineRule="auto"/>
        <w:ind w:firstLine="560" w:firstLineChars="200"/>
        <w:jc w:val="right"/>
        <w:rPr>
          <w:rFonts w:hint="default" w:ascii="宋体" w:hAnsi="宋体"/>
          <w:kern w:val="0"/>
          <w:sz w:val="28"/>
          <w:szCs w:val="28"/>
          <w:lang w:val="en-US" w:eastAsia="zh-CN"/>
        </w:rPr>
      </w:pPr>
      <w:r>
        <w:rPr>
          <w:rFonts w:hint="eastAsia" w:ascii="宋体" w:hAnsi="宋体"/>
          <w:kern w:val="0"/>
          <w:sz w:val="28"/>
          <w:szCs w:val="28"/>
          <w:lang w:val="en-US" w:eastAsia="zh-CN"/>
        </w:rPr>
        <w:t>2025年7月25日</w:t>
      </w:r>
    </w:p>
    <w:sectPr>
      <w:pgSz w:w="11906" w:h="16838"/>
      <w:pgMar w:top="1440" w:right="1416"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长城小标宋体">
    <w:altName w:val="方正小标宋简体"/>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79CE7C"/>
    <w:multiLevelType w:val="singleLevel"/>
    <w:tmpl w:val="2C79CE7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wNjEwOGNkMTUxOGVlYmJhYmIwYmRlNjAxZWZmZDYifQ=="/>
  </w:docVars>
  <w:rsids>
    <w:rsidRoot w:val="009C775F"/>
    <w:rsid w:val="00013FAC"/>
    <w:rsid w:val="000176EF"/>
    <w:rsid w:val="000D1319"/>
    <w:rsid w:val="001234D6"/>
    <w:rsid w:val="0014064B"/>
    <w:rsid w:val="001930E7"/>
    <w:rsid w:val="0020370E"/>
    <w:rsid w:val="002B2216"/>
    <w:rsid w:val="002B5608"/>
    <w:rsid w:val="002B64AF"/>
    <w:rsid w:val="002C44E0"/>
    <w:rsid w:val="002E233E"/>
    <w:rsid w:val="00316B5D"/>
    <w:rsid w:val="0035509B"/>
    <w:rsid w:val="00356FA4"/>
    <w:rsid w:val="00395B75"/>
    <w:rsid w:val="003B588F"/>
    <w:rsid w:val="003D6997"/>
    <w:rsid w:val="00413CD4"/>
    <w:rsid w:val="00423050"/>
    <w:rsid w:val="00446CEF"/>
    <w:rsid w:val="004A1A76"/>
    <w:rsid w:val="004E5D87"/>
    <w:rsid w:val="0050528F"/>
    <w:rsid w:val="005938DE"/>
    <w:rsid w:val="005F0256"/>
    <w:rsid w:val="005F3A6A"/>
    <w:rsid w:val="00635991"/>
    <w:rsid w:val="006C2E9B"/>
    <w:rsid w:val="00721D53"/>
    <w:rsid w:val="007F69A2"/>
    <w:rsid w:val="0087137C"/>
    <w:rsid w:val="008B28FA"/>
    <w:rsid w:val="008D6384"/>
    <w:rsid w:val="008E4B5A"/>
    <w:rsid w:val="009475DE"/>
    <w:rsid w:val="009B15B4"/>
    <w:rsid w:val="009B5A5F"/>
    <w:rsid w:val="009C775F"/>
    <w:rsid w:val="00AA687D"/>
    <w:rsid w:val="00AB1644"/>
    <w:rsid w:val="00AD56E0"/>
    <w:rsid w:val="00B61E4F"/>
    <w:rsid w:val="00BD3867"/>
    <w:rsid w:val="00BD572E"/>
    <w:rsid w:val="00C36C44"/>
    <w:rsid w:val="00C62A92"/>
    <w:rsid w:val="00C90AC4"/>
    <w:rsid w:val="00CB02FC"/>
    <w:rsid w:val="00CD026B"/>
    <w:rsid w:val="00D241AA"/>
    <w:rsid w:val="00D40DD1"/>
    <w:rsid w:val="00D60221"/>
    <w:rsid w:val="00D90889"/>
    <w:rsid w:val="00DF081C"/>
    <w:rsid w:val="00E24645"/>
    <w:rsid w:val="00E42538"/>
    <w:rsid w:val="00E845CE"/>
    <w:rsid w:val="00F60DBA"/>
    <w:rsid w:val="00F82569"/>
    <w:rsid w:val="00FB59EE"/>
    <w:rsid w:val="00FB5D1D"/>
    <w:rsid w:val="3F2F12C5"/>
    <w:rsid w:val="53EB23E5"/>
    <w:rsid w:val="6DE37749"/>
    <w:rsid w:val="75963DC0"/>
    <w:rsid w:val="7FC79893"/>
    <w:rsid w:val="BEE66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character" w:styleId="6">
    <w:name w:val="annotation reference"/>
    <w:unhideWhenUsed/>
    <w:qFormat/>
    <w:uiPriority w:val="99"/>
    <w:rPr>
      <w:sz w:val="21"/>
      <w:szCs w:val="21"/>
    </w:rPr>
  </w:style>
  <w:style w:type="character" w:customStyle="1" w:styleId="7">
    <w:name w:val="页脚 字符"/>
    <w:link w:val="2"/>
    <w:qFormat/>
    <w:uiPriority w:val="0"/>
    <w:rPr>
      <w:rFonts w:ascii="Times New Roman" w:hAnsi="Times New Roman"/>
      <w:kern w:val="2"/>
      <w:sz w:val="18"/>
      <w:szCs w:val="18"/>
    </w:rPr>
  </w:style>
  <w:style w:type="character" w:customStyle="1" w:styleId="8">
    <w:name w:val="页眉 字符"/>
    <w:link w:val="3"/>
    <w:qFormat/>
    <w:uiPriority w:val="0"/>
    <w:rPr>
      <w:rFonts w:ascii="Times New Roman" w:hAnsi="Times New Roman"/>
      <w:kern w:val="2"/>
      <w:sz w:val="18"/>
      <w:szCs w:val="18"/>
    </w:rPr>
  </w:style>
  <w:style w:type="paragraph" w:customStyle="1" w:styleId="9">
    <w:name w:val="段"/>
    <w:link w:val="10"/>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
    <w:name w:val="段 Char"/>
    <w:link w:val="9"/>
    <w:qFormat/>
    <w:uiPriority w:val="99"/>
    <w:rPr>
      <w:rFonts w:ascii="宋体" w:hAnsi="Times New Roman"/>
      <w:sz w:val="21"/>
      <w:lang w:val="en-US" w:eastAsia="zh-CN"/>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452</Words>
  <Characters>2581</Characters>
  <Lines>21</Lines>
  <Paragraphs>6</Paragraphs>
  <TotalTime>0</TotalTime>
  <ScaleCrop>false</ScaleCrop>
  <LinksUpToDate>false</LinksUpToDate>
  <CharactersWithSpaces>3027</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2025-07-16T23:32:00Z</dcterms:created>
  <dc:creator>Administrator</dc:creator>
  <cp:lastModifiedBy>邱颖婕</cp:lastModifiedBy>
  <dcterms:modified xsi:type="dcterms:W3CDTF">2025-07-21T16:13:33Z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2052-12.8.2.21176</vt:lpwstr>
  </property>
  <property fmtid="{D5CDD505-2E9C-101B-9397-08002B2CF9AE}" pid="3" name="ICV">
    <vt:lpwstr>F826FC686AC74433938B3AF158DC54D0_12</vt:lpwstr>
  </property>
</Properties>
</file>